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6A" w:rsidRDefault="00F70C1C" w:rsidP="00833F0C">
      <w:r>
        <w:t>3</w:t>
      </w:r>
      <w:r w:rsidR="00833F0C">
        <w:t>0</w:t>
      </w:r>
      <w:r w:rsidR="00833F0C" w:rsidRPr="00833F0C">
        <w:rPr>
          <w:vertAlign w:val="superscript"/>
        </w:rPr>
        <w:t>th</w:t>
      </w:r>
      <w:r w:rsidR="00833F0C">
        <w:t xml:space="preserve"> Sep</w:t>
      </w:r>
      <w:r w:rsidR="00D2506A">
        <w:t xml:space="preserve"> 20</w:t>
      </w:r>
      <w:r w:rsidR="00B56BD7">
        <w:t>1</w:t>
      </w:r>
      <w:r w:rsidR="00E24387">
        <w:t>1</w:t>
      </w:r>
    </w:p>
    <w:p w:rsidR="00D2506A" w:rsidRDefault="00D2506A" w:rsidP="00833F0C"/>
    <w:p w:rsidR="00D2506A" w:rsidRPr="00833F0C" w:rsidRDefault="00833F0C" w:rsidP="00833F0C">
      <w:pPr>
        <w:jc w:val="center"/>
        <w:rPr>
          <w:color w:val="00B050"/>
          <w:sz w:val="40"/>
          <w:szCs w:val="40"/>
        </w:rPr>
      </w:pPr>
      <w:r>
        <w:rPr>
          <w:color w:val="00B050"/>
          <w:sz w:val="40"/>
          <w:szCs w:val="40"/>
        </w:rPr>
        <w:t>Interest Rates &amp; the Melbourne Property Market</w:t>
      </w:r>
    </w:p>
    <w:p w:rsidR="00D2506A" w:rsidRDefault="00D2506A" w:rsidP="00833F0C"/>
    <w:p w:rsidR="00833F0C" w:rsidRDefault="00833F0C" w:rsidP="00833F0C">
      <w:r>
        <w:t>Investors,</w:t>
      </w:r>
    </w:p>
    <w:p w:rsidR="00833F0C" w:rsidRDefault="00833F0C" w:rsidP="00833F0C">
      <w:r>
        <w:t>In this e-mail I am bringing together some information to put into perspective amidst the bad news headlines of doom and gloom.</w:t>
      </w:r>
    </w:p>
    <w:p w:rsidR="00833F0C" w:rsidRDefault="00833F0C" w:rsidP="00833F0C">
      <w:r>
        <w:t>It is a great opportunity now to review where you are at, what you are investing in and if you are getting the best deals you can suitable to your goals.</w:t>
      </w:r>
    </w:p>
    <w:p w:rsidR="00833F0C" w:rsidRDefault="00833F0C" w:rsidP="00833F0C"/>
    <w:p w:rsidR="00833F0C" w:rsidRPr="00833F0C" w:rsidRDefault="00833F0C" w:rsidP="00833F0C">
      <w:pPr>
        <w:rPr>
          <w:b/>
        </w:rPr>
      </w:pPr>
      <w:r w:rsidRPr="00833F0C">
        <w:rPr>
          <w:b/>
        </w:rPr>
        <w:t>Share Market</w:t>
      </w:r>
    </w:p>
    <w:p w:rsidR="00833F0C" w:rsidRDefault="00833F0C" w:rsidP="00833F0C">
      <w:r>
        <w:t xml:space="preserve">It has been an interesting ride for investors recently with a lot of headlines and publicity surrounding the international stage centred on Europe and </w:t>
      </w:r>
      <w:smartTag w:uri="urn:schemas-microsoft-com:office:smarttags" w:element="place">
        <w:smartTag w:uri="urn:schemas-microsoft-com:office:smarttags" w:element="country-region">
          <w:r>
            <w:t>USA</w:t>
          </w:r>
        </w:smartTag>
      </w:smartTag>
      <w:r>
        <w:t xml:space="preserve"> of sovereign debt issues, government bailouts and increasing government public debt which someone has to pay for at a point in time. </w:t>
      </w:r>
    </w:p>
    <w:p w:rsidR="00833F0C" w:rsidRDefault="00833F0C" w:rsidP="00833F0C">
      <w:r>
        <w:t>The share market has had a torrid time with severe volatility. Having a view of the ASX 200 and the DOW over a 5 year period and then a 6 month period shows the volatility within this market.</w:t>
      </w:r>
    </w:p>
    <w:p w:rsidR="00833F0C" w:rsidRDefault="00833F0C" w:rsidP="00833F0C"/>
    <w:p w:rsidR="00833F0C" w:rsidRDefault="00833F0C" w:rsidP="00833F0C">
      <w:r>
        <w:rPr>
          <w:noProof/>
          <w:lang w:eastAsia="en-AU"/>
        </w:rPr>
        <w:drawing>
          <wp:inline distT="0" distB="0" distL="0" distR="0">
            <wp:extent cx="4876800" cy="2743200"/>
            <wp:effectExtent l="19050" t="0" r="0" b="0"/>
            <wp:docPr id="10" name="Picture 10" descr="cid:image002.jpg@01CC7DE3.11AD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CC7DE3.11AD73D0"/>
                    <pic:cNvPicPr>
                      <a:picLocks noChangeAspect="1" noChangeArrowheads="1"/>
                    </pic:cNvPicPr>
                  </pic:nvPicPr>
                  <pic:blipFill>
                    <a:blip r:embed="rId7" r:link="rId8" cstate="print"/>
                    <a:srcRect/>
                    <a:stretch>
                      <a:fillRect/>
                    </a:stretch>
                  </pic:blipFill>
                  <pic:spPr bwMode="auto">
                    <a:xfrm>
                      <a:off x="0" y="0"/>
                      <a:ext cx="4876800" cy="2743200"/>
                    </a:xfrm>
                    <a:prstGeom prst="rect">
                      <a:avLst/>
                    </a:prstGeom>
                    <a:noFill/>
                    <a:ln w="9525">
                      <a:noFill/>
                      <a:miter lim="800000"/>
                      <a:headEnd/>
                      <a:tailEnd/>
                    </a:ln>
                  </pic:spPr>
                </pic:pic>
              </a:graphicData>
            </a:graphic>
          </wp:inline>
        </w:drawing>
      </w:r>
    </w:p>
    <w:p w:rsidR="00833F0C" w:rsidRDefault="00833F0C" w:rsidP="00833F0C">
      <w:r>
        <w:t>This is showing the ASX 200 has dropped &gt; 20% over the 5 years.</w:t>
      </w:r>
    </w:p>
    <w:p w:rsidR="00833F0C" w:rsidRDefault="00833F0C" w:rsidP="00833F0C"/>
    <w:p w:rsidR="00833F0C" w:rsidRDefault="00833F0C" w:rsidP="00833F0C">
      <w:r>
        <w:rPr>
          <w:noProof/>
          <w:lang w:eastAsia="en-AU"/>
        </w:rPr>
        <w:lastRenderedPageBreak/>
        <w:drawing>
          <wp:inline distT="0" distB="0" distL="0" distR="0">
            <wp:extent cx="4876800" cy="2743200"/>
            <wp:effectExtent l="19050" t="0" r="0" b="0"/>
            <wp:docPr id="11" name="Picture 11" descr="cid:image003.jpg@01CC7DE3.11AD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jpg@01CC7DE3.11AD73D0"/>
                    <pic:cNvPicPr>
                      <a:picLocks noChangeAspect="1" noChangeArrowheads="1"/>
                    </pic:cNvPicPr>
                  </pic:nvPicPr>
                  <pic:blipFill>
                    <a:blip r:embed="rId9" r:link="rId10" cstate="print"/>
                    <a:srcRect/>
                    <a:stretch>
                      <a:fillRect/>
                    </a:stretch>
                  </pic:blipFill>
                  <pic:spPr bwMode="auto">
                    <a:xfrm>
                      <a:off x="0" y="0"/>
                      <a:ext cx="4876800" cy="2743200"/>
                    </a:xfrm>
                    <a:prstGeom prst="rect">
                      <a:avLst/>
                    </a:prstGeom>
                    <a:noFill/>
                    <a:ln w="9525">
                      <a:noFill/>
                      <a:miter lim="800000"/>
                      <a:headEnd/>
                      <a:tailEnd/>
                    </a:ln>
                  </pic:spPr>
                </pic:pic>
              </a:graphicData>
            </a:graphic>
          </wp:inline>
        </w:drawing>
      </w:r>
    </w:p>
    <w:p w:rsidR="00833F0C" w:rsidRDefault="00833F0C" w:rsidP="00833F0C">
      <w:r>
        <w:t>Even over the 6 month, the ASX 200 is down 15% with extraordinary volatility that does not seem to have an end point with the global uncertainty.</w:t>
      </w:r>
    </w:p>
    <w:p w:rsidR="00833F0C" w:rsidRDefault="00833F0C" w:rsidP="00833F0C"/>
    <w:p w:rsidR="00833F0C" w:rsidRPr="00833F0C" w:rsidRDefault="00833F0C" w:rsidP="00833F0C">
      <w:pPr>
        <w:rPr>
          <w:b/>
        </w:rPr>
      </w:pPr>
      <w:r w:rsidRPr="00833F0C">
        <w:rPr>
          <w:b/>
        </w:rPr>
        <w:t>Property Market</w:t>
      </w:r>
    </w:p>
    <w:p w:rsidR="00833F0C" w:rsidRDefault="00833F0C" w:rsidP="00833F0C">
      <w:r>
        <w:t xml:space="preserve">There have been the ongoing bad news headlines about a potential major property crash in </w:t>
      </w:r>
      <w:smartTag w:uri="urn:schemas-microsoft-com:office:smarttags" w:element="country-region">
        <w:smartTag w:uri="urn:schemas-microsoft-com:office:smarttags" w:element="place">
          <w:r>
            <w:t>Australia</w:t>
          </w:r>
        </w:smartTag>
      </w:smartTag>
      <w:r>
        <w:t>, predicted back in 2007 to drop by 40% by one well publicised economist. There are many financial commentators (often following each other like sheep) who are convinced that the Australian property market is heading for a significant downturn. There is no doubt across the board that people are cautious and taking their time to buy. Melbourne auction clearance rates are generally below 60%, well below averages, the median price for Melbourne overall is down over the last 6 months, however over a 5 year period, Melbourne average has grown from $380k to $560k, or just under an average of 9% pa.</w:t>
      </w:r>
    </w:p>
    <w:p w:rsidR="00833F0C" w:rsidRDefault="00833F0C" w:rsidP="00833F0C"/>
    <w:p w:rsidR="00833F0C" w:rsidRDefault="00833F0C" w:rsidP="00833F0C">
      <w:r>
        <w:rPr>
          <w:noProof/>
          <w:lang w:eastAsia="en-AU"/>
        </w:rPr>
        <w:drawing>
          <wp:inline distT="0" distB="0" distL="0" distR="0">
            <wp:extent cx="6010275" cy="2985624"/>
            <wp:effectExtent l="19050" t="0" r="0" b="0"/>
            <wp:docPr id="12" name="Picture 12" descr="cid:image006.jpg@01CC7DE3.11AD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6.jpg@01CC7DE3.11AD73D0"/>
                    <pic:cNvPicPr>
                      <a:picLocks noChangeAspect="1" noChangeArrowheads="1"/>
                    </pic:cNvPicPr>
                  </pic:nvPicPr>
                  <pic:blipFill>
                    <a:blip r:embed="rId11" r:link="rId12" cstate="print"/>
                    <a:srcRect/>
                    <a:stretch>
                      <a:fillRect/>
                    </a:stretch>
                  </pic:blipFill>
                  <pic:spPr bwMode="auto">
                    <a:xfrm>
                      <a:off x="0" y="0"/>
                      <a:ext cx="6011935" cy="2986449"/>
                    </a:xfrm>
                    <a:prstGeom prst="rect">
                      <a:avLst/>
                    </a:prstGeom>
                    <a:noFill/>
                    <a:ln w="9525">
                      <a:noFill/>
                      <a:miter lim="800000"/>
                      <a:headEnd/>
                      <a:tailEnd/>
                    </a:ln>
                  </pic:spPr>
                </pic:pic>
              </a:graphicData>
            </a:graphic>
          </wp:inline>
        </w:drawing>
      </w:r>
    </w:p>
    <w:p w:rsidR="00833F0C" w:rsidRDefault="00833F0C" w:rsidP="00833F0C"/>
    <w:p w:rsidR="00833F0C" w:rsidRPr="00833F0C" w:rsidRDefault="00833F0C" w:rsidP="00833F0C">
      <w:r w:rsidRPr="00833F0C">
        <w:t xml:space="preserve">As you can see from a selected few suburbs, different areas of the market move at different times. Not all suburbs fall and as can be seen from the table below, there are still suburbs that continue to </w:t>
      </w:r>
      <w:r w:rsidRPr="00833F0C">
        <w:lastRenderedPageBreak/>
        <w:t>outperform the general market. It is a good time to buy for an investor but do the research first. We assist investors by providing property reports suitable for their needs.</w:t>
      </w:r>
    </w:p>
    <w:p w:rsidR="00833F0C" w:rsidRDefault="00833F0C" w:rsidP="00833F0C">
      <w:pPr>
        <w:pStyle w:val="Heading4"/>
        <w:rPr>
          <w:rFonts w:ascii="Times New Roman" w:eastAsia="Times New Roman" w:hAnsi="Times New Roman" w:cs="Times New Roman"/>
          <w:sz w:val="24"/>
          <w:szCs w:val="24"/>
          <w:lang w:val="en-US"/>
        </w:rPr>
      </w:pPr>
      <w:r>
        <w:rPr>
          <w:rFonts w:eastAsia="Times New Roman"/>
          <w:lang w:val="en-US"/>
        </w:rPr>
        <w:t>Top 10 Growth Suburbs, Houses (Annual)    </w:t>
      </w:r>
    </w:p>
    <w:p w:rsidR="00833F0C" w:rsidRDefault="00833F0C" w:rsidP="00833F0C">
      <w:pPr>
        <w:pStyle w:val="NormalWeb"/>
        <w:rPr>
          <w:lang w:val="en-US"/>
        </w:rPr>
      </w:pPr>
      <w:r>
        <w:rPr>
          <w:lang w:val="en-US"/>
        </w:rPr>
        <w:t xml:space="preserve">Note: Only suburbs where a minimum of 30 sales recorded in each quarter are included. </w:t>
      </w:r>
    </w:p>
    <w:tbl>
      <w:tblPr>
        <w:tblW w:w="0" w:type="auto"/>
        <w:tblCellSpacing w:w="15" w:type="dxa"/>
        <w:tblCellMar>
          <w:left w:w="0" w:type="dxa"/>
          <w:right w:w="0" w:type="dxa"/>
        </w:tblCellMar>
        <w:tblLook w:val="04A0"/>
      </w:tblPr>
      <w:tblGrid>
        <w:gridCol w:w="320"/>
        <w:gridCol w:w="1736"/>
        <w:gridCol w:w="1616"/>
        <w:gridCol w:w="1616"/>
        <w:gridCol w:w="1909"/>
      </w:tblGrid>
      <w:tr w:rsidR="00833F0C" w:rsidTr="00833F0C">
        <w:trPr>
          <w:tblCellSpacing w:w="15" w:type="dxa"/>
        </w:trPr>
        <w:tc>
          <w:tcPr>
            <w:tcW w:w="0" w:type="auto"/>
            <w:tcMar>
              <w:top w:w="15" w:type="dxa"/>
              <w:left w:w="15" w:type="dxa"/>
              <w:bottom w:w="15" w:type="dxa"/>
              <w:right w:w="15" w:type="dxa"/>
            </w:tcMar>
            <w:vAlign w:val="center"/>
          </w:tcPr>
          <w:p w:rsidR="00833F0C" w:rsidRDefault="00833F0C" w:rsidP="00833F0C">
            <w:pPr>
              <w:rPr>
                <w:rFonts w:eastAsiaTheme="minorHAnsi"/>
              </w:rPr>
            </w:pP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rPr>
                <w:rStyle w:val="Strong"/>
                <w:sz w:val="20"/>
                <w:szCs w:val="20"/>
              </w:rPr>
              <w:t>Suburb </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rPr>
                <w:rStyle w:val="Strong"/>
                <w:sz w:val="20"/>
                <w:szCs w:val="20"/>
              </w:rPr>
              <w:t>June-11 Median </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rPr>
                <w:rStyle w:val="Strong"/>
                <w:sz w:val="20"/>
                <w:szCs w:val="20"/>
              </w:rPr>
              <w:t>June-10 Median </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rPr>
                <w:rStyle w:val="Strong"/>
                <w:sz w:val="20"/>
                <w:szCs w:val="20"/>
              </w:rPr>
              <w:t>Annual Change (%)</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1 </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Prahran </w:t>
            </w:r>
          </w:p>
        </w:tc>
        <w:tc>
          <w:tcPr>
            <w:tcW w:w="0" w:type="auto"/>
            <w:tcMar>
              <w:top w:w="15" w:type="dxa"/>
              <w:left w:w="15" w:type="dxa"/>
              <w:bottom w:w="15" w:type="dxa"/>
              <w:right w:w="15" w:type="dxa"/>
            </w:tcMar>
            <w:vAlign w:val="center"/>
            <w:hideMark/>
          </w:tcPr>
          <w:p w:rsidR="00833F0C" w:rsidRDefault="00833F0C" w:rsidP="00833F0C">
            <w:pPr>
              <w:pStyle w:val="NormalWeb"/>
            </w:pPr>
            <w:r>
              <w:t>$1,100,000</w:t>
            </w:r>
          </w:p>
        </w:tc>
        <w:tc>
          <w:tcPr>
            <w:tcW w:w="0" w:type="auto"/>
            <w:tcMar>
              <w:top w:w="15" w:type="dxa"/>
              <w:left w:w="15" w:type="dxa"/>
              <w:bottom w:w="15" w:type="dxa"/>
              <w:right w:w="15" w:type="dxa"/>
            </w:tcMar>
            <w:vAlign w:val="center"/>
            <w:hideMark/>
          </w:tcPr>
          <w:p w:rsidR="00833F0C" w:rsidRDefault="00833F0C" w:rsidP="00833F0C">
            <w:pPr>
              <w:pStyle w:val="NormalWeb"/>
            </w:pPr>
            <w:r>
              <w:t>$937,000 </w:t>
            </w:r>
          </w:p>
        </w:tc>
        <w:tc>
          <w:tcPr>
            <w:tcW w:w="0" w:type="auto"/>
            <w:tcMar>
              <w:top w:w="15" w:type="dxa"/>
              <w:left w:w="15" w:type="dxa"/>
              <w:bottom w:w="15" w:type="dxa"/>
              <w:right w:w="15" w:type="dxa"/>
            </w:tcMar>
            <w:vAlign w:val="center"/>
            <w:hideMark/>
          </w:tcPr>
          <w:p w:rsidR="00833F0C" w:rsidRDefault="00833F0C" w:rsidP="00833F0C">
            <w:pPr>
              <w:pStyle w:val="NormalWeb"/>
            </w:pPr>
            <w:r>
              <w:t>17.4 </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2</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Melton</w:t>
            </w:r>
          </w:p>
        </w:tc>
        <w:tc>
          <w:tcPr>
            <w:tcW w:w="0" w:type="auto"/>
            <w:tcMar>
              <w:top w:w="15" w:type="dxa"/>
              <w:left w:w="15" w:type="dxa"/>
              <w:bottom w:w="15" w:type="dxa"/>
              <w:right w:w="15" w:type="dxa"/>
            </w:tcMar>
            <w:vAlign w:val="center"/>
            <w:hideMark/>
          </w:tcPr>
          <w:p w:rsidR="00833F0C" w:rsidRDefault="00833F0C" w:rsidP="00833F0C">
            <w:pPr>
              <w:pStyle w:val="NormalWeb"/>
            </w:pPr>
            <w:r>
              <w:t>$312,500</w:t>
            </w:r>
          </w:p>
        </w:tc>
        <w:tc>
          <w:tcPr>
            <w:tcW w:w="0" w:type="auto"/>
            <w:tcMar>
              <w:top w:w="15" w:type="dxa"/>
              <w:left w:w="15" w:type="dxa"/>
              <w:bottom w:w="15" w:type="dxa"/>
              <w:right w:w="15" w:type="dxa"/>
            </w:tcMar>
            <w:vAlign w:val="center"/>
            <w:hideMark/>
          </w:tcPr>
          <w:p w:rsidR="00833F0C" w:rsidRDefault="00833F0C" w:rsidP="00833F0C">
            <w:pPr>
              <w:pStyle w:val="NormalWeb"/>
            </w:pPr>
            <w:r>
              <w:t>$266,500</w:t>
            </w:r>
          </w:p>
        </w:tc>
        <w:tc>
          <w:tcPr>
            <w:tcW w:w="0" w:type="auto"/>
            <w:tcMar>
              <w:top w:w="15" w:type="dxa"/>
              <w:left w:w="15" w:type="dxa"/>
              <w:bottom w:w="15" w:type="dxa"/>
              <w:right w:w="15" w:type="dxa"/>
            </w:tcMar>
            <w:vAlign w:val="center"/>
            <w:hideMark/>
          </w:tcPr>
          <w:p w:rsidR="00833F0C" w:rsidRDefault="00833F0C" w:rsidP="00833F0C">
            <w:pPr>
              <w:pStyle w:val="NormalWeb"/>
            </w:pPr>
            <w:r>
              <w:t>17.3</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3</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Frankston South </w:t>
            </w:r>
          </w:p>
        </w:tc>
        <w:tc>
          <w:tcPr>
            <w:tcW w:w="0" w:type="auto"/>
            <w:tcMar>
              <w:top w:w="15" w:type="dxa"/>
              <w:left w:w="15" w:type="dxa"/>
              <w:bottom w:w="15" w:type="dxa"/>
              <w:right w:w="15" w:type="dxa"/>
            </w:tcMar>
            <w:vAlign w:val="center"/>
            <w:hideMark/>
          </w:tcPr>
          <w:p w:rsidR="00833F0C" w:rsidRDefault="00833F0C" w:rsidP="00833F0C">
            <w:pPr>
              <w:pStyle w:val="NormalWeb"/>
            </w:pPr>
            <w:r>
              <w:t>$547,750 </w:t>
            </w:r>
          </w:p>
        </w:tc>
        <w:tc>
          <w:tcPr>
            <w:tcW w:w="0" w:type="auto"/>
            <w:tcMar>
              <w:top w:w="15" w:type="dxa"/>
              <w:left w:w="15" w:type="dxa"/>
              <w:bottom w:w="15" w:type="dxa"/>
              <w:right w:w="15" w:type="dxa"/>
            </w:tcMar>
            <w:vAlign w:val="center"/>
            <w:hideMark/>
          </w:tcPr>
          <w:p w:rsidR="00833F0C" w:rsidRDefault="00833F0C" w:rsidP="00833F0C">
            <w:pPr>
              <w:pStyle w:val="NormalWeb"/>
            </w:pPr>
            <w:r>
              <w:t>$485,000 </w:t>
            </w:r>
          </w:p>
        </w:tc>
        <w:tc>
          <w:tcPr>
            <w:tcW w:w="0" w:type="auto"/>
            <w:tcMar>
              <w:top w:w="15" w:type="dxa"/>
              <w:left w:w="15" w:type="dxa"/>
              <w:bottom w:w="15" w:type="dxa"/>
              <w:right w:w="15" w:type="dxa"/>
            </w:tcMar>
            <w:vAlign w:val="center"/>
            <w:hideMark/>
          </w:tcPr>
          <w:p w:rsidR="00833F0C" w:rsidRDefault="00833F0C" w:rsidP="00833F0C">
            <w:pPr>
              <w:pStyle w:val="NormalWeb"/>
            </w:pPr>
            <w:r>
              <w:t>12.9</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4</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smartTag w:uri="urn:schemas-microsoft-com:office:smarttags" w:element="place">
              <w:smartTag w:uri="urn:schemas-microsoft-com:office:smarttags" w:element="PlaceType">
                <w:r>
                  <w:t>Mount</w:t>
                </w:r>
              </w:smartTag>
              <w:r>
                <w:t xml:space="preserve"> </w:t>
              </w:r>
              <w:smartTag w:uri="urn:schemas-microsoft-com:office:smarttags" w:element="PlaceName">
                <w:r>
                  <w:t>Martha</w:t>
                </w:r>
              </w:smartTag>
            </w:smartTag>
            <w:r>
              <w:t> </w:t>
            </w:r>
          </w:p>
        </w:tc>
        <w:tc>
          <w:tcPr>
            <w:tcW w:w="0" w:type="auto"/>
            <w:tcMar>
              <w:top w:w="15" w:type="dxa"/>
              <w:left w:w="15" w:type="dxa"/>
              <w:bottom w:w="15" w:type="dxa"/>
              <w:right w:w="15" w:type="dxa"/>
            </w:tcMar>
            <w:vAlign w:val="center"/>
            <w:hideMark/>
          </w:tcPr>
          <w:p w:rsidR="00833F0C" w:rsidRDefault="00833F0C" w:rsidP="00833F0C">
            <w:pPr>
              <w:pStyle w:val="NormalWeb"/>
            </w:pPr>
            <w:r>
              <w:t>$677,000 </w:t>
            </w:r>
          </w:p>
        </w:tc>
        <w:tc>
          <w:tcPr>
            <w:tcW w:w="0" w:type="auto"/>
            <w:tcMar>
              <w:top w:w="15" w:type="dxa"/>
              <w:left w:w="15" w:type="dxa"/>
              <w:bottom w:w="15" w:type="dxa"/>
              <w:right w:w="15" w:type="dxa"/>
            </w:tcMar>
            <w:vAlign w:val="center"/>
            <w:hideMark/>
          </w:tcPr>
          <w:p w:rsidR="00833F0C" w:rsidRDefault="00833F0C" w:rsidP="00833F0C">
            <w:pPr>
              <w:pStyle w:val="NormalWeb"/>
            </w:pPr>
            <w:r>
              <w:t>$604,000 </w:t>
            </w:r>
          </w:p>
        </w:tc>
        <w:tc>
          <w:tcPr>
            <w:tcW w:w="0" w:type="auto"/>
            <w:tcMar>
              <w:top w:w="15" w:type="dxa"/>
              <w:left w:w="15" w:type="dxa"/>
              <w:bottom w:w="15" w:type="dxa"/>
              <w:right w:w="15" w:type="dxa"/>
            </w:tcMar>
            <w:vAlign w:val="center"/>
            <w:hideMark/>
          </w:tcPr>
          <w:p w:rsidR="00833F0C" w:rsidRDefault="00833F0C" w:rsidP="00833F0C">
            <w:pPr>
              <w:pStyle w:val="NormalWeb"/>
            </w:pPr>
            <w:r>
              <w:t>12.1</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5</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Sunbury </w:t>
            </w:r>
          </w:p>
        </w:tc>
        <w:tc>
          <w:tcPr>
            <w:tcW w:w="0" w:type="auto"/>
            <w:tcMar>
              <w:top w:w="15" w:type="dxa"/>
              <w:left w:w="15" w:type="dxa"/>
              <w:bottom w:w="15" w:type="dxa"/>
              <w:right w:w="15" w:type="dxa"/>
            </w:tcMar>
            <w:vAlign w:val="center"/>
            <w:hideMark/>
          </w:tcPr>
          <w:p w:rsidR="00833F0C" w:rsidRDefault="00833F0C" w:rsidP="00833F0C">
            <w:pPr>
              <w:pStyle w:val="NormalWeb"/>
            </w:pPr>
            <w:r>
              <w:t>$375,000 </w:t>
            </w:r>
          </w:p>
        </w:tc>
        <w:tc>
          <w:tcPr>
            <w:tcW w:w="0" w:type="auto"/>
            <w:tcMar>
              <w:top w:w="15" w:type="dxa"/>
              <w:left w:w="15" w:type="dxa"/>
              <w:bottom w:w="15" w:type="dxa"/>
              <w:right w:w="15" w:type="dxa"/>
            </w:tcMar>
            <w:vAlign w:val="center"/>
            <w:hideMark/>
          </w:tcPr>
          <w:p w:rsidR="00833F0C" w:rsidRDefault="00833F0C" w:rsidP="00833F0C">
            <w:pPr>
              <w:pStyle w:val="NormalWeb"/>
            </w:pPr>
            <w:r>
              <w:t>$337,250 </w:t>
            </w:r>
          </w:p>
        </w:tc>
        <w:tc>
          <w:tcPr>
            <w:tcW w:w="0" w:type="auto"/>
            <w:tcMar>
              <w:top w:w="15" w:type="dxa"/>
              <w:left w:w="15" w:type="dxa"/>
              <w:bottom w:w="15" w:type="dxa"/>
              <w:right w:w="15" w:type="dxa"/>
            </w:tcMar>
            <w:vAlign w:val="center"/>
            <w:hideMark/>
          </w:tcPr>
          <w:p w:rsidR="00833F0C" w:rsidRDefault="00833F0C" w:rsidP="00833F0C">
            <w:pPr>
              <w:pStyle w:val="NormalWeb"/>
            </w:pPr>
            <w:r>
              <w:t>11.2 </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6</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Berwick </w:t>
            </w:r>
          </w:p>
        </w:tc>
        <w:tc>
          <w:tcPr>
            <w:tcW w:w="0" w:type="auto"/>
            <w:tcMar>
              <w:top w:w="15" w:type="dxa"/>
              <w:left w:w="15" w:type="dxa"/>
              <w:bottom w:w="15" w:type="dxa"/>
              <w:right w:w="15" w:type="dxa"/>
            </w:tcMar>
            <w:vAlign w:val="center"/>
            <w:hideMark/>
          </w:tcPr>
          <w:p w:rsidR="00833F0C" w:rsidRDefault="00833F0C" w:rsidP="00833F0C">
            <w:pPr>
              <w:pStyle w:val="NormalWeb"/>
            </w:pPr>
            <w:r>
              <w:t>$505,000 </w:t>
            </w:r>
          </w:p>
        </w:tc>
        <w:tc>
          <w:tcPr>
            <w:tcW w:w="0" w:type="auto"/>
            <w:tcMar>
              <w:top w:w="15" w:type="dxa"/>
              <w:left w:w="15" w:type="dxa"/>
              <w:bottom w:w="15" w:type="dxa"/>
              <w:right w:w="15" w:type="dxa"/>
            </w:tcMar>
            <w:vAlign w:val="center"/>
            <w:hideMark/>
          </w:tcPr>
          <w:p w:rsidR="00833F0C" w:rsidRDefault="00833F0C" w:rsidP="00833F0C">
            <w:pPr>
              <w:pStyle w:val="NormalWeb"/>
            </w:pPr>
            <w:r>
              <w:t>$459,000 </w:t>
            </w:r>
          </w:p>
        </w:tc>
        <w:tc>
          <w:tcPr>
            <w:tcW w:w="0" w:type="auto"/>
            <w:tcMar>
              <w:top w:w="15" w:type="dxa"/>
              <w:left w:w="15" w:type="dxa"/>
              <w:bottom w:w="15" w:type="dxa"/>
              <w:right w:w="15" w:type="dxa"/>
            </w:tcMar>
            <w:vAlign w:val="center"/>
            <w:hideMark/>
          </w:tcPr>
          <w:p w:rsidR="00833F0C" w:rsidRDefault="00833F0C" w:rsidP="00833F0C">
            <w:pPr>
              <w:pStyle w:val="NormalWeb"/>
            </w:pPr>
            <w:r>
              <w:t>10.0 </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7</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Kilsyth</w:t>
            </w:r>
          </w:p>
        </w:tc>
        <w:tc>
          <w:tcPr>
            <w:tcW w:w="0" w:type="auto"/>
            <w:tcMar>
              <w:top w:w="15" w:type="dxa"/>
              <w:left w:w="15" w:type="dxa"/>
              <w:bottom w:w="15" w:type="dxa"/>
              <w:right w:w="15" w:type="dxa"/>
            </w:tcMar>
            <w:vAlign w:val="center"/>
            <w:hideMark/>
          </w:tcPr>
          <w:p w:rsidR="00833F0C" w:rsidRDefault="00833F0C" w:rsidP="00833F0C">
            <w:pPr>
              <w:pStyle w:val="NormalWeb"/>
            </w:pPr>
            <w:r>
              <w:t>$456,000</w:t>
            </w:r>
          </w:p>
        </w:tc>
        <w:tc>
          <w:tcPr>
            <w:tcW w:w="0" w:type="auto"/>
            <w:tcMar>
              <w:top w:w="15" w:type="dxa"/>
              <w:left w:w="15" w:type="dxa"/>
              <w:bottom w:w="15" w:type="dxa"/>
              <w:right w:w="15" w:type="dxa"/>
            </w:tcMar>
            <w:vAlign w:val="center"/>
            <w:hideMark/>
          </w:tcPr>
          <w:p w:rsidR="00833F0C" w:rsidRDefault="00833F0C" w:rsidP="00833F0C">
            <w:pPr>
              <w:pStyle w:val="NormalWeb"/>
            </w:pPr>
            <w:r>
              <w:t>$421,000</w:t>
            </w:r>
          </w:p>
        </w:tc>
        <w:tc>
          <w:tcPr>
            <w:tcW w:w="0" w:type="auto"/>
            <w:tcMar>
              <w:top w:w="15" w:type="dxa"/>
              <w:left w:w="15" w:type="dxa"/>
              <w:bottom w:w="15" w:type="dxa"/>
              <w:right w:w="15" w:type="dxa"/>
            </w:tcMar>
            <w:vAlign w:val="center"/>
            <w:hideMark/>
          </w:tcPr>
          <w:p w:rsidR="00833F0C" w:rsidRDefault="00833F0C" w:rsidP="00833F0C">
            <w:pPr>
              <w:pStyle w:val="NormalWeb"/>
            </w:pPr>
            <w:r>
              <w:t>8.3</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8</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smartTag w:uri="urn:schemas-microsoft-com:office:smarttags" w:element="place">
              <w:r>
                <w:t>St Albans</w:t>
              </w:r>
            </w:smartTag>
          </w:p>
        </w:tc>
        <w:tc>
          <w:tcPr>
            <w:tcW w:w="0" w:type="auto"/>
            <w:tcMar>
              <w:top w:w="15" w:type="dxa"/>
              <w:left w:w="15" w:type="dxa"/>
              <w:bottom w:w="15" w:type="dxa"/>
              <w:right w:w="15" w:type="dxa"/>
            </w:tcMar>
            <w:vAlign w:val="center"/>
            <w:hideMark/>
          </w:tcPr>
          <w:p w:rsidR="00833F0C" w:rsidRDefault="00833F0C" w:rsidP="00833F0C">
            <w:pPr>
              <w:pStyle w:val="NormalWeb"/>
            </w:pPr>
            <w:r>
              <w:t>$440,000</w:t>
            </w:r>
          </w:p>
        </w:tc>
        <w:tc>
          <w:tcPr>
            <w:tcW w:w="0" w:type="auto"/>
            <w:tcMar>
              <w:top w:w="15" w:type="dxa"/>
              <w:left w:w="15" w:type="dxa"/>
              <w:bottom w:w="15" w:type="dxa"/>
              <w:right w:w="15" w:type="dxa"/>
            </w:tcMar>
            <w:vAlign w:val="center"/>
            <w:hideMark/>
          </w:tcPr>
          <w:p w:rsidR="00833F0C" w:rsidRDefault="00833F0C" w:rsidP="00833F0C">
            <w:pPr>
              <w:pStyle w:val="NormalWeb"/>
            </w:pPr>
            <w:r>
              <w:t>$410,000</w:t>
            </w:r>
          </w:p>
        </w:tc>
        <w:tc>
          <w:tcPr>
            <w:tcW w:w="0" w:type="auto"/>
            <w:tcMar>
              <w:top w:w="15" w:type="dxa"/>
              <w:left w:w="15" w:type="dxa"/>
              <w:bottom w:w="15" w:type="dxa"/>
              <w:right w:w="15" w:type="dxa"/>
            </w:tcMar>
            <w:vAlign w:val="center"/>
            <w:hideMark/>
          </w:tcPr>
          <w:p w:rsidR="00833F0C" w:rsidRDefault="00833F0C" w:rsidP="00833F0C">
            <w:pPr>
              <w:pStyle w:val="NormalWeb"/>
            </w:pPr>
            <w:r>
              <w:t>7.3</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9</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Wyndham Vale</w:t>
            </w:r>
          </w:p>
        </w:tc>
        <w:tc>
          <w:tcPr>
            <w:tcW w:w="0" w:type="auto"/>
            <w:tcMar>
              <w:top w:w="15" w:type="dxa"/>
              <w:left w:w="15" w:type="dxa"/>
              <w:bottom w:w="15" w:type="dxa"/>
              <w:right w:w="15" w:type="dxa"/>
            </w:tcMar>
            <w:vAlign w:val="center"/>
            <w:hideMark/>
          </w:tcPr>
          <w:p w:rsidR="00833F0C" w:rsidRDefault="00833F0C" w:rsidP="00833F0C">
            <w:pPr>
              <w:pStyle w:val="NormalWeb"/>
            </w:pPr>
            <w:r>
              <w:t>$315,000</w:t>
            </w:r>
          </w:p>
        </w:tc>
        <w:tc>
          <w:tcPr>
            <w:tcW w:w="0" w:type="auto"/>
            <w:tcMar>
              <w:top w:w="15" w:type="dxa"/>
              <w:left w:w="15" w:type="dxa"/>
              <w:bottom w:w="15" w:type="dxa"/>
              <w:right w:w="15" w:type="dxa"/>
            </w:tcMar>
            <w:vAlign w:val="center"/>
            <w:hideMark/>
          </w:tcPr>
          <w:p w:rsidR="00833F0C" w:rsidRDefault="00833F0C" w:rsidP="00833F0C">
            <w:pPr>
              <w:pStyle w:val="NormalWeb"/>
            </w:pPr>
            <w:r>
              <w:t>$297,500</w:t>
            </w:r>
          </w:p>
        </w:tc>
        <w:tc>
          <w:tcPr>
            <w:tcW w:w="0" w:type="auto"/>
            <w:tcMar>
              <w:top w:w="15" w:type="dxa"/>
              <w:left w:w="15" w:type="dxa"/>
              <w:bottom w:w="15" w:type="dxa"/>
              <w:right w:w="15" w:type="dxa"/>
            </w:tcMar>
            <w:vAlign w:val="center"/>
            <w:hideMark/>
          </w:tcPr>
          <w:p w:rsidR="00833F0C" w:rsidRDefault="00833F0C" w:rsidP="00833F0C">
            <w:pPr>
              <w:pStyle w:val="NormalWeb"/>
            </w:pPr>
            <w:r>
              <w:t>5.9</w:t>
            </w:r>
          </w:p>
        </w:tc>
      </w:tr>
      <w:tr w:rsidR="00833F0C" w:rsidTr="00833F0C">
        <w:trPr>
          <w:tblCellSpacing w:w="15" w:type="dxa"/>
        </w:trPr>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10</w:t>
            </w:r>
          </w:p>
        </w:tc>
        <w:tc>
          <w:tcPr>
            <w:tcW w:w="0" w:type="auto"/>
            <w:tcMar>
              <w:top w:w="15" w:type="dxa"/>
              <w:left w:w="15" w:type="dxa"/>
              <w:bottom w:w="15" w:type="dxa"/>
              <w:right w:w="15" w:type="dxa"/>
            </w:tcMar>
            <w:vAlign w:val="center"/>
            <w:hideMark/>
          </w:tcPr>
          <w:p w:rsidR="00833F0C" w:rsidRDefault="00833F0C" w:rsidP="00833F0C">
            <w:pPr>
              <w:rPr>
                <w:rFonts w:eastAsiaTheme="minorHAnsi"/>
                <w:sz w:val="24"/>
                <w:szCs w:val="24"/>
              </w:rPr>
            </w:pPr>
            <w:r>
              <w:t>Surrey Hills</w:t>
            </w:r>
          </w:p>
        </w:tc>
        <w:tc>
          <w:tcPr>
            <w:tcW w:w="0" w:type="auto"/>
            <w:tcMar>
              <w:top w:w="15" w:type="dxa"/>
              <w:left w:w="15" w:type="dxa"/>
              <w:bottom w:w="15" w:type="dxa"/>
              <w:right w:w="15" w:type="dxa"/>
            </w:tcMar>
            <w:vAlign w:val="center"/>
            <w:hideMark/>
          </w:tcPr>
          <w:p w:rsidR="00833F0C" w:rsidRDefault="00833F0C" w:rsidP="00833F0C">
            <w:pPr>
              <w:pStyle w:val="NormalWeb"/>
            </w:pPr>
            <w:r>
              <w:t>$1,126,000</w:t>
            </w:r>
          </w:p>
        </w:tc>
        <w:tc>
          <w:tcPr>
            <w:tcW w:w="0" w:type="auto"/>
            <w:tcMar>
              <w:top w:w="15" w:type="dxa"/>
              <w:left w:w="15" w:type="dxa"/>
              <w:bottom w:w="15" w:type="dxa"/>
              <w:right w:w="15" w:type="dxa"/>
            </w:tcMar>
            <w:vAlign w:val="center"/>
            <w:hideMark/>
          </w:tcPr>
          <w:p w:rsidR="00833F0C" w:rsidRDefault="00833F0C" w:rsidP="00833F0C">
            <w:pPr>
              <w:pStyle w:val="NormalWeb"/>
            </w:pPr>
            <w:r>
              <w:t>$1,065,000</w:t>
            </w:r>
          </w:p>
        </w:tc>
        <w:tc>
          <w:tcPr>
            <w:tcW w:w="0" w:type="auto"/>
            <w:tcMar>
              <w:top w:w="15" w:type="dxa"/>
              <w:left w:w="15" w:type="dxa"/>
              <w:bottom w:w="15" w:type="dxa"/>
              <w:right w:w="15" w:type="dxa"/>
            </w:tcMar>
            <w:vAlign w:val="center"/>
            <w:hideMark/>
          </w:tcPr>
          <w:p w:rsidR="00833F0C" w:rsidRDefault="00833F0C" w:rsidP="00833F0C">
            <w:pPr>
              <w:pStyle w:val="NormalWeb"/>
            </w:pPr>
            <w:r>
              <w:t>5.7</w:t>
            </w:r>
          </w:p>
        </w:tc>
      </w:tr>
    </w:tbl>
    <w:p w:rsidR="00833F0C" w:rsidRDefault="00833F0C" w:rsidP="00833F0C">
      <w:pPr>
        <w:rPr>
          <w:rFonts w:eastAsiaTheme="minorHAnsi"/>
        </w:rPr>
      </w:pPr>
    </w:p>
    <w:p w:rsidR="00833F0C" w:rsidRDefault="00833F0C" w:rsidP="00833F0C">
      <w:r>
        <w:t>Source – REIV</w:t>
      </w:r>
    </w:p>
    <w:p w:rsidR="00833F0C" w:rsidRDefault="00833F0C" w:rsidP="00833F0C"/>
    <w:p w:rsidR="00833F0C" w:rsidRPr="00833F0C" w:rsidRDefault="00833F0C" w:rsidP="00833F0C">
      <w:pPr>
        <w:rPr>
          <w:b/>
        </w:rPr>
      </w:pPr>
      <w:r w:rsidRPr="00833F0C">
        <w:rPr>
          <w:b/>
        </w:rPr>
        <w:t>Interest Rates</w:t>
      </w:r>
    </w:p>
    <w:p w:rsidR="00833F0C" w:rsidRPr="00833F0C" w:rsidRDefault="00833F0C" w:rsidP="00833F0C">
      <w:r w:rsidRPr="00833F0C">
        <w:t xml:space="preserve">There has been some intense competition within the major banks recently, where banks are vying for your business by offering greater discounts from standard variable interest rates, some offering to pay up to $1,000 in settlement fees and no application fees. They are also putting some very low interest rate fixed term </w:t>
      </w:r>
      <w:proofErr w:type="gramStart"/>
      <w:r w:rsidRPr="00833F0C">
        <w:t>deals,</w:t>
      </w:r>
      <w:proofErr w:type="gramEnd"/>
      <w:r w:rsidRPr="00833F0C">
        <w:t xml:space="preserve"> again to gain business but most likely their cost of longer term funds is cheaper now than it has been. Forget the Banks CEO’s rhetoric about dropping variable rates, they are just offering discounts instead. Lenders have priced for volume for some years now (greater the loan $, the better the interest rate discount) but they are starting to price for risk, so the lower the loan to value ratio (LVR), some lenders offer a low interest rate as well.  Conversely for higher LVR’s, often a higher interest rate and for low doc loans, almost always lower LVR’s available and slightly higher interest rates available.</w:t>
      </w:r>
    </w:p>
    <w:p w:rsidR="00833F0C" w:rsidRPr="00833F0C" w:rsidRDefault="00833F0C" w:rsidP="00833F0C"/>
    <w:p w:rsidR="00833F0C" w:rsidRPr="00833F0C" w:rsidRDefault="00833F0C" w:rsidP="00833F0C">
      <w:r w:rsidRPr="00833F0C">
        <w:t>For variable rates, normally &gt; $250k loan size, best rates are 6.80% going to a competitive 6.85% to 7.00%. Any more than that and you are probably paying too much. Higher loan sizes may attract even keener discounts.</w:t>
      </w:r>
    </w:p>
    <w:p w:rsidR="00833F0C" w:rsidRPr="00833F0C" w:rsidRDefault="00833F0C" w:rsidP="00833F0C">
      <w:r w:rsidRPr="00833F0C">
        <w:t>For fixed rates, again &gt; $250k:</w:t>
      </w:r>
    </w:p>
    <w:p w:rsidR="00833F0C" w:rsidRPr="00833F0C" w:rsidRDefault="00833F0C" w:rsidP="00833F0C">
      <w:r w:rsidRPr="00833F0C">
        <w:t>1 year best 5.99%, followed by a range from 6.34% to 6.54%</w:t>
      </w:r>
    </w:p>
    <w:p w:rsidR="00833F0C" w:rsidRPr="00833F0C" w:rsidRDefault="00833F0C" w:rsidP="00833F0C">
      <w:r w:rsidRPr="00833F0C">
        <w:t>2 and 3 years fixed, best rate 6.24% then a range from 6.29% to 6.44%</w:t>
      </w:r>
    </w:p>
    <w:p w:rsidR="00833F0C" w:rsidRPr="00833F0C" w:rsidRDefault="00833F0C" w:rsidP="00833F0C">
      <w:r w:rsidRPr="00833F0C">
        <w:t>5 year fixed are more expensive, 6.69% then followed by 6.84% to 6.90%.</w:t>
      </w:r>
    </w:p>
    <w:p w:rsidR="00833F0C" w:rsidRPr="00833F0C" w:rsidRDefault="00833F0C" w:rsidP="00833F0C">
      <w:pPr>
        <w:rPr>
          <w:rFonts w:eastAsiaTheme="minorHAnsi"/>
        </w:rPr>
      </w:pPr>
    </w:p>
    <w:p w:rsidR="00833F0C" w:rsidRDefault="00833F0C" w:rsidP="00833F0C">
      <w:r w:rsidRPr="00833F0C">
        <w:t>Please check your current interest rates and give me a call or send an e-mail so I can compare for you to save you money.</w:t>
      </w:r>
    </w:p>
    <w:p w:rsidR="00833F0C" w:rsidRDefault="00833F0C" w:rsidP="00833F0C"/>
    <w:p w:rsidR="00833F0C" w:rsidRDefault="00833F0C" w:rsidP="00833F0C"/>
    <w:p w:rsidR="00833F0C" w:rsidRPr="00833F0C" w:rsidRDefault="00833F0C" w:rsidP="00833F0C"/>
    <w:p w:rsidR="00833F0C" w:rsidRDefault="00833F0C" w:rsidP="00833F0C"/>
    <w:p w:rsidR="00833F0C" w:rsidRPr="001D60A7" w:rsidRDefault="00833F0C" w:rsidP="00833F0C"/>
    <w:p w:rsidR="00B56BD7" w:rsidRPr="00833F0C" w:rsidRDefault="00B56BD7" w:rsidP="00833F0C">
      <w:pPr>
        <w:rPr>
          <w:b/>
        </w:rPr>
      </w:pPr>
      <w:r w:rsidRPr="00833F0C">
        <w:rPr>
          <w:b/>
        </w:rPr>
        <w:lastRenderedPageBreak/>
        <w:t>Our Service to You</w:t>
      </w:r>
    </w:p>
    <w:p w:rsidR="00B56BD7" w:rsidRPr="00B56BD7" w:rsidRDefault="00B56BD7" w:rsidP="00833F0C">
      <w:r w:rsidRPr="00B56BD7">
        <w:t xml:space="preserve">We provide a specialised service for investors wanting to create long term wealth for themselves and their families. We are finance strategists, credit advisers and mortgage brokers, helping you achieve your goals. Give us a call when you think </w:t>
      </w:r>
      <w:proofErr w:type="spellStart"/>
      <w:r w:rsidRPr="00B56BD7">
        <w:t>its</w:t>
      </w:r>
      <w:proofErr w:type="spellEnd"/>
      <w:r w:rsidRPr="00B56BD7">
        <w:t xml:space="preserve"> time to consider your options. </w:t>
      </w:r>
    </w:p>
    <w:p w:rsidR="00B56BD7" w:rsidRPr="00B56BD7" w:rsidRDefault="00B56BD7" w:rsidP="00833F0C">
      <w:r w:rsidRPr="00B56BD7">
        <w:t>As well as providing a service to investors, we will assist you in purchasing as an owner-occupier, or upgrading to a new property, or simply looking at better pricing or structuring options for your current loans and banking or assisting seniors looking at possible reverse mortgage options.</w:t>
      </w:r>
    </w:p>
    <w:p w:rsidR="00B56BD7" w:rsidRPr="00B56BD7" w:rsidRDefault="00B56BD7" w:rsidP="00833F0C"/>
    <w:p w:rsidR="00B56BD7" w:rsidRPr="00B56BD7" w:rsidRDefault="00B56BD7" w:rsidP="00833F0C">
      <w:r w:rsidRPr="00B56BD7">
        <w:t xml:space="preserve">Our business is built on referrals provided by clients, so please don’t keep us a secret, feel free to forward this e-mail to family and friends interested in their own financial future. Give us a call and book an appointment to see if it makes sense for you. </w:t>
      </w:r>
    </w:p>
    <w:p w:rsidR="00B56BD7" w:rsidRPr="00B56BD7" w:rsidRDefault="00B56BD7" w:rsidP="00833F0C">
      <w:r w:rsidRPr="00B56BD7">
        <w:t>If you have any questions about any of these topics, give me a call.</w:t>
      </w:r>
    </w:p>
    <w:p w:rsidR="00DC6EC4" w:rsidRDefault="00DC6EC4" w:rsidP="00833F0C"/>
    <w:p w:rsidR="00A10711" w:rsidRDefault="00A10711" w:rsidP="00833F0C"/>
    <w:p w:rsidR="004D6BC0" w:rsidRPr="00833F0C" w:rsidRDefault="00AB1803" w:rsidP="00833F0C">
      <w:pPr>
        <w:jc w:val="center"/>
        <w:rPr>
          <w:rFonts w:ascii="Brush Script MT" w:hAnsi="Brush Script MT"/>
          <w:i/>
          <w:sz w:val="48"/>
          <w:szCs w:val="48"/>
        </w:rPr>
      </w:pPr>
      <w:r w:rsidRPr="00833F0C">
        <w:rPr>
          <w:rFonts w:ascii="Brush Script MT" w:hAnsi="Brush Script MT"/>
          <w:i/>
          <w:sz w:val="48"/>
          <w:szCs w:val="48"/>
        </w:rPr>
        <w:t>Helping People through Finance</w:t>
      </w:r>
    </w:p>
    <w:sectPr w:rsidR="004D6BC0" w:rsidRPr="00833F0C" w:rsidSect="00560C54">
      <w:headerReference w:type="first" r:id="rId13"/>
      <w:pgSz w:w="12240" w:h="15840" w:code="1"/>
      <w:pgMar w:top="1440" w:right="1134" w:bottom="107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5C" w:rsidRDefault="00DB575C" w:rsidP="00833F0C">
      <w:r>
        <w:separator/>
      </w:r>
    </w:p>
  </w:endnote>
  <w:endnote w:type="continuationSeparator" w:id="0">
    <w:p w:rsidR="00DB575C" w:rsidRDefault="00DB575C" w:rsidP="00833F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5C" w:rsidRDefault="00DB575C" w:rsidP="00833F0C">
      <w:r>
        <w:separator/>
      </w:r>
    </w:p>
  </w:footnote>
  <w:footnote w:type="continuationSeparator" w:id="0">
    <w:p w:rsidR="00DB575C" w:rsidRDefault="00DB575C" w:rsidP="00833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17"/>
      <w:gridCol w:w="4182"/>
    </w:tblGrid>
    <w:tr w:rsidR="001D026A" w:rsidTr="00560C54">
      <w:trPr>
        <w:trHeight w:val="2164"/>
      </w:trPr>
      <w:tc>
        <w:tcPr>
          <w:tcW w:w="5617" w:type="dxa"/>
        </w:tcPr>
        <w:p w:rsidR="001D026A" w:rsidRDefault="001D026A" w:rsidP="00833F0C">
          <w:pPr>
            <w:pStyle w:val="Header"/>
          </w:pPr>
          <w:r>
            <w:t xml:space="preserve"> </w:t>
          </w:r>
          <w:r w:rsidR="00B56BD7">
            <w:rPr>
              <w:noProof/>
              <w:lang w:eastAsia="en-AU"/>
            </w:rPr>
            <w:drawing>
              <wp:inline distT="0" distB="0" distL="0" distR="0">
                <wp:extent cx="3209925" cy="1228725"/>
                <wp:effectExtent l="19050" t="0" r="9525" b="0"/>
                <wp:docPr id="9" name="Picture 9"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2"/>
                        <pic:cNvPicPr>
                          <a:picLocks noChangeAspect="1" noChangeArrowheads="1"/>
                        </pic:cNvPicPr>
                      </pic:nvPicPr>
                      <pic:blipFill>
                        <a:blip r:embed="rId1"/>
                        <a:srcRect/>
                        <a:stretch>
                          <a:fillRect/>
                        </a:stretch>
                      </pic:blipFill>
                      <pic:spPr bwMode="auto">
                        <a:xfrm>
                          <a:off x="0" y="0"/>
                          <a:ext cx="3209925" cy="1228725"/>
                        </a:xfrm>
                        <a:prstGeom prst="rect">
                          <a:avLst/>
                        </a:prstGeom>
                        <a:noFill/>
                        <a:ln w="9525">
                          <a:noFill/>
                          <a:miter lim="800000"/>
                          <a:headEnd/>
                          <a:tailEnd/>
                        </a:ln>
                      </pic:spPr>
                    </pic:pic>
                  </a:graphicData>
                </a:graphic>
              </wp:inline>
            </w:drawing>
          </w:r>
        </w:p>
        <w:p w:rsidR="001D026A" w:rsidRDefault="001D026A" w:rsidP="00833F0C">
          <w:pPr>
            <w:pStyle w:val="Header"/>
          </w:pPr>
        </w:p>
      </w:tc>
      <w:tc>
        <w:tcPr>
          <w:tcW w:w="4182" w:type="dxa"/>
        </w:tcPr>
        <w:p w:rsidR="001D026A" w:rsidRDefault="001D026A" w:rsidP="00833F0C"/>
        <w:p w:rsidR="001D026A" w:rsidRDefault="00B56BD7" w:rsidP="00833F0C">
          <w:r>
            <w:t>19 Vaucluse</w:t>
          </w:r>
          <w:r w:rsidR="001D026A">
            <w:t xml:space="preserve"> Street</w:t>
          </w:r>
        </w:p>
        <w:p w:rsidR="001D026A" w:rsidRDefault="00B56BD7" w:rsidP="00833F0C">
          <w:r>
            <w:t>Berwick</w:t>
          </w:r>
          <w:r w:rsidR="001D026A">
            <w:t xml:space="preserve"> 3</w:t>
          </w:r>
          <w:r>
            <w:t>80</w:t>
          </w:r>
          <w:r w:rsidR="001D026A">
            <w:t>6</w:t>
          </w:r>
        </w:p>
        <w:p w:rsidR="001D026A" w:rsidRDefault="001D026A" w:rsidP="00833F0C">
          <w:r>
            <w:t xml:space="preserve">Ph. 03 </w:t>
          </w:r>
          <w:r w:rsidR="00B56BD7">
            <w:t>8786</w:t>
          </w:r>
          <w:r>
            <w:t xml:space="preserve"> </w:t>
          </w:r>
          <w:r w:rsidR="00B56BD7">
            <w:t>9960</w:t>
          </w:r>
        </w:p>
        <w:p w:rsidR="001D026A" w:rsidRDefault="001D026A" w:rsidP="00833F0C">
          <w:r>
            <w:t xml:space="preserve">Fax. 03 </w:t>
          </w:r>
          <w:r w:rsidR="00B56BD7">
            <w:t>8768</w:t>
          </w:r>
          <w:r>
            <w:t xml:space="preserve"> </w:t>
          </w:r>
          <w:r w:rsidR="00B56BD7">
            <w:t>9959</w:t>
          </w:r>
        </w:p>
        <w:p w:rsidR="001D026A" w:rsidRDefault="001D026A" w:rsidP="00833F0C">
          <w:smartTag w:uri="urn:schemas-microsoft-com:office:smarttags" w:element="place">
            <w:smartTag w:uri="urn:schemas-microsoft-com:office:smarttags" w:element="City">
              <w:r>
                <w:t>Mobile</w:t>
              </w:r>
            </w:smartTag>
          </w:smartTag>
          <w:r>
            <w:t>. 0428 310 165</w:t>
          </w:r>
        </w:p>
        <w:p w:rsidR="001D026A" w:rsidRDefault="001D026A" w:rsidP="00833F0C">
          <w:r>
            <w:t xml:space="preserve">Email. </w:t>
          </w:r>
          <w:hyperlink r:id="rId2" w:history="1">
            <w:r w:rsidR="00F70C1C" w:rsidRPr="00671157">
              <w:rPr>
                <w:rStyle w:val="Hyperlink"/>
                <w:b/>
              </w:rPr>
              <w:t>greg@reidconsultants.com.au</w:t>
            </w:r>
          </w:hyperlink>
        </w:p>
        <w:p w:rsidR="001D026A" w:rsidRDefault="001D026A" w:rsidP="00833F0C">
          <w:r>
            <w:t>ABN: 65 111 801 079</w:t>
          </w:r>
        </w:p>
        <w:p w:rsidR="001D026A" w:rsidRPr="0042345D" w:rsidRDefault="00260C81" w:rsidP="00833F0C">
          <w:pPr>
            <w:pStyle w:val="Header"/>
          </w:pPr>
          <w:hyperlink r:id="rId3" w:history="1">
            <w:r w:rsidR="001D026A" w:rsidRPr="00DE1A0C">
              <w:rPr>
                <w:rStyle w:val="Hyperlink"/>
                <w:b/>
              </w:rPr>
              <w:t>www.reidconsultants.com.au</w:t>
            </w:r>
          </w:hyperlink>
          <w:r w:rsidR="001D026A">
            <w:t xml:space="preserve"> </w:t>
          </w:r>
        </w:p>
      </w:tc>
    </w:tr>
  </w:tbl>
  <w:p w:rsidR="001D026A" w:rsidRDefault="001D026A" w:rsidP="00833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95C"/>
    <w:multiLevelType w:val="hybridMultilevel"/>
    <w:tmpl w:val="6FC66790"/>
    <w:lvl w:ilvl="0" w:tplc="6866889C">
      <w:start w:val="1"/>
      <w:numFmt w:val="bullet"/>
      <w:lvlText w:val=""/>
      <w:lvlJc w:val="left"/>
      <w:pPr>
        <w:tabs>
          <w:tab w:val="num" w:pos="720"/>
        </w:tabs>
        <w:ind w:left="720" w:hanging="360"/>
      </w:pPr>
      <w:rPr>
        <w:rFonts w:ascii="Wingdings" w:hAnsi="Wingdings" w:hint="default"/>
      </w:rPr>
    </w:lvl>
    <w:lvl w:ilvl="1" w:tplc="289444C0" w:tentative="1">
      <w:start w:val="1"/>
      <w:numFmt w:val="bullet"/>
      <w:lvlText w:val=""/>
      <w:lvlJc w:val="left"/>
      <w:pPr>
        <w:tabs>
          <w:tab w:val="num" w:pos="1440"/>
        </w:tabs>
        <w:ind w:left="1440" w:hanging="360"/>
      </w:pPr>
      <w:rPr>
        <w:rFonts w:ascii="Wingdings" w:hAnsi="Wingdings" w:hint="default"/>
      </w:rPr>
    </w:lvl>
    <w:lvl w:ilvl="2" w:tplc="EE2C9F28" w:tentative="1">
      <w:start w:val="1"/>
      <w:numFmt w:val="bullet"/>
      <w:lvlText w:val=""/>
      <w:lvlJc w:val="left"/>
      <w:pPr>
        <w:tabs>
          <w:tab w:val="num" w:pos="2160"/>
        </w:tabs>
        <w:ind w:left="2160" w:hanging="360"/>
      </w:pPr>
      <w:rPr>
        <w:rFonts w:ascii="Wingdings" w:hAnsi="Wingdings" w:hint="default"/>
      </w:rPr>
    </w:lvl>
    <w:lvl w:ilvl="3" w:tplc="48242306" w:tentative="1">
      <w:start w:val="1"/>
      <w:numFmt w:val="bullet"/>
      <w:lvlText w:val=""/>
      <w:lvlJc w:val="left"/>
      <w:pPr>
        <w:tabs>
          <w:tab w:val="num" w:pos="2880"/>
        </w:tabs>
        <w:ind w:left="2880" w:hanging="360"/>
      </w:pPr>
      <w:rPr>
        <w:rFonts w:ascii="Wingdings" w:hAnsi="Wingdings" w:hint="default"/>
      </w:rPr>
    </w:lvl>
    <w:lvl w:ilvl="4" w:tplc="FF64342C" w:tentative="1">
      <w:start w:val="1"/>
      <w:numFmt w:val="bullet"/>
      <w:lvlText w:val=""/>
      <w:lvlJc w:val="left"/>
      <w:pPr>
        <w:tabs>
          <w:tab w:val="num" w:pos="3600"/>
        </w:tabs>
        <w:ind w:left="3600" w:hanging="360"/>
      </w:pPr>
      <w:rPr>
        <w:rFonts w:ascii="Wingdings" w:hAnsi="Wingdings" w:hint="default"/>
      </w:rPr>
    </w:lvl>
    <w:lvl w:ilvl="5" w:tplc="EC8AEF12" w:tentative="1">
      <w:start w:val="1"/>
      <w:numFmt w:val="bullet"/>
      <w:lvlText w:val=""/>
      <w:lvlJc w:val="left"/>
      <w:pPr>
        <w:tabs>
          <w:tab w:val="num" w:pos="4320"/>
        </w:tabs>
        <w:ind w:left="4320" w:hanging="360"/>
      </w:pPr>
      <w:rPr>
        <w:rFonts w:ascii="Wingdings" w:hAnsi="Wingdings" w:hint="default"/>
      </w:rPr>
    </w:lvl>
    <w:lvl w:ilvl="6" w:tplc="03F071CE" w:tentative="1">
      <w:start w:val="1"/>
      <w:numFmt w:val="bullet"/>
      <w:lvlText w:val=""/>
      <w:lvlJc w:val="left"/>
      <w:pPr>
        <w:tabs>
          <w:tab w:val="num" w:pos="5040"/>
        </w:tabs>
        <w:ind w:left="5040" w:hanging="360"/>
      </w:pPr>
      <w:rPr>
        <w:rFonts w:ascii="Wingdings" w:hAnsi="Wingdings" w:hint="default"/>
      </w:rPr>
    </w:lvl>
    <w:lvl w:ilvl="7" w:tplc="59D48656" w:tentative="1">
      <w:start w:val="1"/>
      <w:numFmt w:val="bullet"/>
      <w:lvlText w:val=""/>
      <w:lvlJc w:val="left"/>
      <w:pPr>
        <w:tabs>
          <w:tab w:val="num" w:pos="5760"/>
        </w:tabs>
        <w:ind w:left="5760" w:hanging="360"/>
      </w:pPr>
      <w:rPr>
        <w:rFonts w:ascii="Wingdings" w:hAnsi="Wingdings" w:hint="default"/>
      </w:rPr>
    </w:lvl>
    <w:lvl w:ilvl="8" w:tplc="2DF4349E" w:tentative="1">
      <w:start w:val="1"/>
      <w:numFmt w:val="bullet"/>
      <w:lvlText w:val=""/>
      <w:lvlJc w:val="left"/>
      <w:pPr>
        <w:tabs>
          <w:tab w:val="num" w:pos="6480"/>
        </w:tabs>
        <w:ind w:left="6480" w:hanging="360"/>
      </w:pPr>
      <w:rPr>
        <w:rFonts w:ascii="Wingdings" w:hAnsi="Wingdings" w:hint="default"/>
      </w:rPr>
    </w:lvl>
  </w:abstractNum>
  <w:abstractNum w:abstractNumId="1">
    <w:nsid w:val="0E602041"/>
    <w:multiLevelType w:val="hybridMultilevel"/>
    <w:tmpl w:val="4CDCE200"/>
    <w:lvl w:ilvl="0" w:tplc="9802EDE2">
      <w:start w:val="1"/>
      <w:numFmt w:val="bullet"/>
      <w:lvlText w:val=""/>
      <w:lvlJc w:val="left"/>
      <w:pPr>
        <w:tabs>
          <w:tab w:val="num" w:pos="720"/>
        </w:tabs>
        <w:ind w:left="720" w:hanging="360"/>
      </w:pPr>
      <w:rPr>
        <w:rFonts w:ascii="Wingdings" w:hAnsi="Wingdings" w:hint="default"/>
      </w:rPr>
    </w:lvl>
    <w:lvl w:ilvl="1" w:tplc="B5A070EC">
      <w:start w:val="164"/>
      <w:numFmt w:val="bullet"/>
      <w:lvlText w:val=""/>
      <w:lvlJc w:val="left"/>
      <w:pPr>
        <w:tabs>
          <w:tab w:val="num" w:pos="1440"/>
        </w:tabs>
        <w:ind w:left="1440" w:hanging="360"/>
      </w:pPr>
      <w:rPr>
        <w:rFonts w:ascii="Wingdings" w:hAnsi="Wingdings" w:hint="default"/>
      </w:rPr>
    </w:lvl>
    <w:lvl w:ilvl="2" w:tplc="6CEC3330" w:tentative="1">
      <w:start w:val="1"/>
      <w:numFmt w:val="bullet"/>
      <w:lvlText w:val=""/>
      <w:lvlJc w:val="left"/>
      <w:pPr>
        <w:tabs>
          <w:tab w:val="num" w:pos="2160"/>
        </w:tabs>
        <w:ind w:left="2160" w:hanging="360"/>
      </w:pPr>
      <w:rPr>
        <w:rFonts w:ascii="Wingdings" w:hAnsi="Wingdings" w:hint="default"/>
      </w:rPr>
    </w:lvl>
    <w:lvl w:ilvl="3" w:tplc="3AC0674C" w:tentative="1">
      <w:start w:val="1"/>
      <w:numFmt w:val="bullet"/>
      <w:lvlText w:val=""/>
      <w:lvlJc w:val="left"/>
      <w:pPr>
        <w:tabs>
          <w:tab w:val="num" w:pos="2880"/>
        </w:tabs>
        <w:ind w:left="2880" w:hanging="360"/>
      </w:pPr>
      <w:rPr>
        <w:rFonts w:ascii="Wingdings" w:hAnsi="Wingdings" w:hint="default"/>
      </w:rPr>
    </w:lvl>
    <w:lvl w:ilvl="4" w:tplc="49188600" w:tentative="1">
      <w:start w:val="1"/>
      <w:numFmt w:val="bullet"/>
      <w:lvlText w:val=""/>
      <w:lvlJc w:val="left"/>
      <w:pPr>
        <w:tabs>
          <w:tab w:val="num" w:pos="3600"/>
        </w:tabs>
        <w:ind w:left="3600" w:hanging="360"/>
      </w:pPr>
      <w:rPr>
        <w:rFonts w:ascii="Wingdings" w:hAnsi="Wingdings" w:hint="default"/>
      </w:rPr>
    </w:lvl>
    <w:lvl w:ilvl="5" w:tplc="2EAABB96" w:tentative="1">
      <w:start w:val="1"/>
      <w:numFmt w:val="bullet"/>
      <w:lvlText w:val=""/>
      <w:lvlJc w:val="left"/>
      <w:pPr>
        <w:tabs>
          <w:tab w:val="num" w:pos="4320"/>
        </w:tabs>
        <w:ind w:left="4320" w:hanging="360"/>
      </w:pPr>
      <w:rPr>
        <w:rFonts w:ascii="Wingdings" w:hAnsi="Wingdings" w:hint="default"/>
      </w:rPr>
    </w:lvl>
    <w:lvl w:ilvl="6" w:tplc="1EF27ECE" w:tentative="1">
      <w:start w:val="1"/>
      <w:numFmt w:val="bullet"/>
      <w:lvlText w:val=""/>
      <w:lvlJc w:val="left"/>
      <w:pPr>
        <w:tabs>
          <w:tab w:val="num" w:pos="5040"/>
        </w:tabs>
        <w:ind w:left="5040" w:hanging="360"/>
      </w:pPr>
      <w:rPr>
        <w:rFonts w:ascii="Wingdings" w:hAnsi="Wingdings" w:hint="default"/>
      </w:rPr>
    </w:lvl>
    <w:lvl w:ilvl="7" w:tplc="2EFCC88C" w:tentative="1">
      <w:start w:val="1"/>
      <w:numFmt w:val="bullet"/>
      <w:lvlText w:val=""/>
      <w:lvlJc w:val="left"/>
      <w:pPr>
        <w:tabs>
          <w:tab w:val="num" w:pos="5760"/>
        </w:tabs>
        <w:ind w:left="5760" w:hanging="360"/>
      </w:pPr>
      <w:rPr>
        <w:rFonts w:ascii="Wingdings" w:hAnsi="Wingdings" w:hint="default"/>
      </w:rPr>
    </w:lvl>
    <w:lvl w:ilvl="8" w:tplc="32BA5A40" w:tentative="1">
      <w:start w:val="1"/>
      <w:numFmt w:val="bullet"/>
      <w:lvlText w:val=""/>
      <w:lvlJc w:val="left"/>
      <w:pPr>
        <w:tabs>
          <w:tab w:val="num" w:pos="6480"/>
        </w:tabs>
        <w:ind w:left="6480" w:hanging="360"/>
      </w:pPr>
      <w:rPr>
        <w:rFonts w:ascii="Wingdings" w:hAnsi="Wingdings" w:hint="default"/>
      </w:rPr>
    </w:lvl>
  </w:abstractNum>
  <w:abstractNum w:abstractNumId="2">
    <w:nsid w:val="0EDA6CD2"/>
    <w:multiLevelType w:val="hybridMultilevel"/>
    <w:tmpl w:val="014AF6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3318BB"/>
    <w:multiLevelType w:val="hybridMultilevel"/>
    <w:tmpl w:val="D108D4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786D38"/>
    <w:multiLevelType w:val="hybridMultilevel"/>
    <w:tmpl w:val="8564B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C75149"/>
    <w:multiLevelType w:val="hybridMultilevel"/>
    <w:tmpl w:val="3CE6A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B6AC0"/>
    <w:multiLevelType w:val="hybridMultilevel"/>
    <w:tmpl w:val="34621D2E"/>
    <w:lvl w:ilvl="0" w:tplc="04090001">
      <w:start w:val="1"/>
      <w:numFmt w:val="bullet"/>
      <w:lvlText w:val=""/>
      <w:lvlJc w:val="left"/>
      <w:pPr>
        <w:tabs>
          <w:tab w:val="num" w:pos="720"/>
        </w:tabs>
        <w:ind w:left="720" w:hanging="360"/>
      </w:pPr>
      <w:rPr>
        <w:rFonts w:ascii="Symbol" w:hAnsi="Symbol" w:hint="default"/>
      </w:rPr>
    </w:lvl>
    <w:lvl w:ilvl="1" w:tplc="289444C0" w:tentative="1">
      <w:start w:val="1"/>
      <w:numFmt w:val="bullet"/>
      <w:lvlText w:val=""/>
      <w:lvlJc w:val="left"/>
      <w:pPr>
        <w:tabs>
          <w:tab w:val="num" w:pos="1440"/>
        </w:tabs>
        <w:ind w:left="1440" w:hanging="360"/>
      </w:pPr>
      <w:rPr>
        <w:rFonts w:ascii="Wingdings" w:hAnsi="Wingdings" w:hint="default"/>
      </w:rPr>
    </w:lvl>
    <w:lvl w:ilvl="2" w:tplc="EE2C9F28" w:tentative="1">
      <w:start w:val="1"/>
      <w:numFmt w:val="bullet"/>
      <w:lvlText w:val=""/>
      <w:lvlJc w:val="left"/>
      <w:pPr>
        <w:tabs>
          <w:tab w:val="num" w:pos="2160"/>
        </w:tabs>
        <w:ind w:left="2160" w:hanging="360"/>
      </w:pPr>
      <w:rPr>
        <w:rFonts w:ascii="Wingdings" w:hAnsi="Wingdings" w:hint="default"/>
      </w:rPr>
    </w:lvl>
    <w:lvl w:ilvl="3" w:tplc="48242306" w:tentative="1">
      <w:start w:val="1"/>
      <w:numFmt w:val="bullet"/>
      <w:lvlText w:val=""/>
      <w:lvlJc w:val="left"/>
      <w:pPr>
        <w:tabs>
          <w:tab w:val="num" w:pos="2880"/>
        </w:tabs>
        <w:ind w:left="2880" w:hanging="360"/>
      </w:pPr>
      <w:rPr>
        <w:rFonts w:ascii="Wingdings" w:hAnsi="Wingdings" w:hint="default"/>
      </w:rPr>
    </w:lvl>
    <w:lvl w:ilvl="4" w:tplc="FF64342C" w:tentative="1">
      <w:start w:val="1"/>
      <w:numFmt w:val="bullet"/>
      <w:lvlText w:val=""/>
      <w:lvlJc w:val="left"/>
      <w:pPr>
        <w:tabs>
          <w:tab w:val="num" w:pos="3600"/>
        </w:tabs>
        <w:ind w:left="3600" w:hanging="360"/>
      </w:pPr>
      <w:rPr>
        <w:rFonts w:ascii="Wingdings" w:hAnsi="Wingdings" w:hint="default"/>
      </w:rPr>
    </w:lvl>
    <w:lvl w:ilvl="5" w:tplc="EC8AEF12" w:tentative="1">
      <w:start w:val="1"/>
      <w:numFmt w:val="bullet"/>
      <w:lvlText w:val=""/>
      <w:lvlJc w:val="left"/>
      <w:pPr>
        <w:tabs>
          <w:tab w:val="num" w:pos="4320"/>
        </w:tabs>
        <w:ind w:left="4320" w:hanging="360"/>
      </w:pPr>
      <w:rPr>
        <w:rFonts w:ascii="Wingdings" w:hAnsi="Wingdings" w:hint="default"/>
      </w:rPr>
    </w:lvl>
    <w:lvl w:ilvl="6" w:tplc="03F071CE" w:tentative="1">
      <w:start w:val="1"/>
      <w:numFmt w:val="bullet"/>
      <w:lvlText w:val=""/>
      <w:lvlJc w:val="left"/>
      <w:pPr>
        <w:tabs>
          <w:tab w:val="num" w:pos="5040"/>
        </w:tabs>
        <w:ind w:left="5040" w:hanging="360"/>
      </w:pPr>
      <w:rPr>
        <w:rFonts w:ascii="Wingdings" w:hAnsi="Wingdings" w:hint="default"/>
      </w:rPr>
    </w:lvl>
    <w:lvl w:ilvl="7" w:tplc="59D48656" w:tentative="1">
      <w:start w:val="1"/>
      <w:numFmt w:val="bullet"/>
      <w:lvlText w:val=""/>
      <w:lvlJc w:val="left"/>
      <w:pPr>
        <w:tabs>
          <w:tab w:val="num" w:pos="5760"/>
        </w:tabs>
        <w:ind w:left="5760" w:hanging="360"/>
      </w:pPr>
      <w:rPr>
        <w:rFonts w:ascii="Wingdings" w:hAnsi="Wingdings" w:hint="default"/>
      </w:rPr>
    </w:lvl>
    <w:lvl w:ilvl="8" w:tplc="2DF4349E" w:tentative="1">
      <w:start w:val="1"/>
      <w:numFmt w:val="bullet"/>
      <w:lvlText w:val=""/>
      <w:lvlJc w:val="left"/>
      <w:pPr>
        <w:tabs>
          <w:tab w:val="num" w:pos="6480"/>
        </w:tabs>
        <w:ind w:left="6480" w:hanging="360"/>
      </w:pPr>
      <w:rPr>
        <w:rFonts w:ascii="Wingdings" w:hAnsi="Wingdings" w:hint="default"/>
      </w:rPr>
    </w:lvl>
  </w:abstractNum>
  <w:abstractNum w:abstractNumId="7">
    <w:nsid w:val="24BC0193"/>
    <w:multiLevelType w:val="multilevel"/>
    <w:tmpl w:val="6FC6679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604E37"/>
    <w:multiLevelType w:val="hybridMultilevel"/>
    <w:tmpl w:val="D87C9072"/>
    <w:lvl w:ilvl="0" w:tplc="CD8E7C26">
      <w:start w:val="1"/>
      <w:numFmt w:val="bullet"/>
      <w:lvlText w:val=""/>
      <w:lvlJc w:val="left"/>
      <w:pPr>
        <w:tabs>
          <w:tab w:val="num" w:pos="720"/>
        </w:tabs>
        <w:ind w:left="720" w:hanging="360"/>
      </w:pPr>
      <w:rPr>
        <w:rFonts w:ascii="Wingdings" w:hAnsi="Wingdings" w:hint="default"/>
      </w:rPr>
    </w:lvl>
    <w:lvl w:ilvl="1" w:tplc="5C488FB0" w:tentative="1">
      <w:start w:val="1"/>
      <w:numFmt w:val="bullet"/>
      <w:lvlText w:val=""/>
      <w:lvlJc w:val="left"/>
      <w:pPr>
        <w:tabs>
          <w:tab w:val="num" w:pos="1440"/>
        </w:tabs>
        <w:ind w:left="1440" w:hanging="360"/>
      </w:pPr>
      <w:rPr>
        <w:rFonts w:ascii="Wingdings" w:hAnsi="Wingdings" w:hint="default"/>
      </w:rPr>
    </w:lvl>
    <w:lvl w:ilvl="2" w:tplc="D728C9BE" w:tentative="1">
      <w:start w:val="1"/>
      <w:numFmt w:val="bullet"/>
      <w:lvlText w:val=""/>
      <w:lvlJc w:val="left"/>
      <w:pPr>
        <w:tabs>
          <w:tab w:val="num" w:pos="2160"/>
        </w:tabs>
        <w:ind w:left="2160" w:hanging="360"/>
      </w:pPr>
      <w:rPr>
        <w:rFonts w:ascii="Wingdings" w:hAnsi="Wingdings" w:hint="default"/>
      </w:rPr>
    </w:lvl>
    <w:lvl w:ilvl="3" w:tplc="F84C3018" w:tentative="1">
      <w:start w:val="1"/>
      <w:numFmt w:val="bullet"/>
      <w:lvlText w:val=""/>
      <w:lvlJc w:val="left"/>
      <w:pPr>
        <w:tabs>
          <w:tab w:val="num" w:pos="2880"/>
        </w:tabs>
        <w:ind w:left="2880" w:hanging="360"/>
      </w:pPr>
      <w:rPr>
        <w:rFonts w:ascii="Wingdings" w:hAnsi="Wingdings" w:hint="default"/>
      </w:rPr>
    </w:lvl>
    <w:lvl w:ilvl="4" w:tplc="772E7F92" w:tentative="1">
      <w:start w:val="1"/>
      <w:numFmt w:val="bullet"/>
      <w:lvlText w:val=""/>
      <w:lvlJc w:val="left"/>
      <w:pPr>
        <w:tabs>
          <w:tab w:val="num" w:pos="3600"/>
        </w:tabs>
        <w:ind w:left="3600" w:hanging="360"/>
      </w:pPr>
      <w:rPr>
        <w:rFonts w:ascii="Wingdings" w:hAnsi="Wingdings" w:hint="default"/>
      </w:rPr>
    </w:lvl>
    <w:lvl w:ilvl="5" w:tplc="7AD48D60" w:tentative="1">
      <w:start w:val="1"/>
      <w:numFmt w:val="bullet"/>
      <w:lvlText w:val=""/>
      <w:lvlJc w:val="left"/>
      <w:pPr>
        <w:tabs>
          <w:tab w:val="num" w:pos="4320"/>
        </w:tabs>
        <w:ind w:left="4320" w:hanging="360"/>
      </w:pPr>
      <w:rPr>
        <w:rFonts w:ascii="Wingdings" w:hAnsi="Wingdings" w:hint="default"/>
      </w:rPr>
    </w:lvl>
    <w:lvl w:ilvl="6" w:tplc="2C32083E" w:tentative="1">
      <w:start w:val="1"/>
      <w:numFmt w:val="bullet"/>
      <w:lvlText w:val=""/>
      <w:lvlJc w:val="left"/>
      <w:pPr>
        <w:tabs>
          <w:tab w:val="num" w:pos="5040"/>
        </w:tabs>
        <w:ind w:left="5040" w:hanging="360"/>
      </w:pPr>
      <w:rPr>
        <w:rFonts w:ascii="Wingdings" w:hAnsi="Wingdings" w:hint="default"/>
      </w:rPr>
    </w:lvl>
    <w:lvl w:ilvl="7" w:tplc="A90CCF6E" w:tentative="1">
      <w:start w:val="1"/>
      <w:numFmt w:val="bullet"/>
      <w:lvlText w:val=""/>
      <w:lvlJc w:val="left"/>
      <w:pPr>
        <w:tabs>
          <w:tab w:val="num" w:pos="5760"/>
        </w:tabs>
        <w:ind w:left="5760" w:hanging="360"/>
      </w:pPr>
      <w:rPr>
        <w:rFonts w:ascii="Wingdings" w:hAnsi="Wingdings" w:hint="default"/>
      </w:rPr>
    </w:lvl>
    <w:lvl w:ilvl="8" w:tplc="55923E0C" w:tentative="1">
      <w:start w:val="1"/>
      <w:numFmt w:val="bullet"/>
      <w:lvlText w:val=""/>
      <w:lvlJc w:val="left"/>
      <w:pPr>
        <w:tabs>
          <w:tab w:val="num" w:pos="6480"/>
        </w:tabs>
        <w:ind w:left="6480" w:hanging="360"/>
      </w:pPr>
      <w:rPr>
        <w:rFonts w:ascii="Wingdings" w:hAnsi="Wingdings" w:hint="default"/>
      </w:rPr>
    </w:lvl>
  </w:abstractNum>
  <w:abstractNum w:abstractNumId="9">
    <w:nsid w:val="32E96106"/>
    <w:multiLevelType w:val="multilevel"/>
    <w:tmpl w:val="4CDCE200"/>
    <w:lvl w:ilvl="0">
      <w:start w:val="1"/>
      <w:numFmt w:val="bullet"/>
      <w:lvlText w:val=""/>
      <w:lvlJc w:val="left"/>
      <w:pPr>
        <w:tabs>
          <w:tab w:val="num" w:pos="720"/>
        </w:tabs>
        <w:ind w:left="720" w:hanging="360"/>
      </w:pPr>
      <w:rPr>
        <w:rFonts w:ascii="Wingdings" w:hAnsi="Wingdings" w:hint="default"/>
      </w:rPr>
    </w:lvl>
    <w:lvl w:ilvl="1">
      <w:start w:val="164"/>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1F3537"/>
    <w:multiLevelType w:val="hybridMultilevel"/>
    <w:tmpl w:val="75E2F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52A16E5"/>
    <w:multiLevelType w:val="hybridMultilevel"/>
    <w:tmpl w:val="FC2E3290"/>
    <w:lvl w:ilvl="0" w:tplc="32B24E92">
      <w:start w:val="1"/>
      <w:numFmt w:val="bullet"/>
      <w:lvlText w:val=""/>
      <w:lvlJc w:val="left"/>
      <w:pPr>
        <w:tabs>
          <w:tab w:val="num" w:pos="720"/>
        </w:tabs>
        <w:ind w:left="720" w:hanging="360"/>
      </w:pPr>
      <w:rPr>
        <w:rFonts w:ascii="Wingdings" w:hAnsi="Wingdings" w:hint="default"/>
      </w:rPr>
    </w:lvl>
    <w:lvl w:ilvl="1" w:tplc="CCDCD244" w:tentative="1">
      <w:start w:val="1"/>
      <w:numFmt w:val="bullet"/>
      <w:lvlText w:val=""/>
      <w:lvlJc w:val="left"/>
      <w:pPr>
        <w:tabs>
          <w:tab w:val="num" w:pos="1440"/>
        </w:tabs>
        <w:ind w:left="1440" w:hanging="360"/>
      </w:pPr>
      <w:rPr>
        <w:rFonts w:ascii="Wingdings" w:hAnsi="Wingdings" w:hint="default"/>
      </w:rPr>
    </w:lvl>
    <w:lvl w:ilvl="2" w:tplc="094A9ACE" w:tentative="1">
      <w:start w:val="1"/>
      <w:numFmt w:val="bullet"/>
      <w:lvlText w:val=""/>
      <w:lvlJc w:val="left"/>
      <w:pPr>
        <w:tabs>
          <w:tab w:val="num" w:pos="2160"/>
        </w:tabs>
        <w:ind w:left="2160" w:hanging="360"/>
      </w:pPr>
      <w:rPr>
        <w:rFonts w:ascii="Wingdings" w:hAnsi="Wingdings" w:hint="default"/>
      </w:rPr>
    </w:lvl>
    <w:lvl w:ilvl="3" w:tplc="56D4890C" w:tentative="1">
      <w:start w:val="1"/>
      <w:numFmt w:val="bullet"/>
      <w:lvlText w:val=""/>
      <w:lvlJc w:val="left"/>
      <w:pPr>
        <w:tabs>
          <w:tab w:val="num" w:pos="2880"/>
        </w:tabs>
        <w:ind w:left="2880" w:hanging="360"/>
      </w:pPr>
      <w:rPr>
        <w:rFonts w:ascii="Wingdings" w:hAnsi="Wingdings" w:hint="default"/>
      </w:rPr>
    </w:lvl>
    <w:lvl w:ilvl="4" w:tplc="03D089B4" w:tentative="1">
      <w:start w:val="1"/>
      <w:numFmt w:val="bullet"/>
      <w:lvlText w:val=""/>
      <w:lvlJc w:val="left"/>
      <w:pPr>
        <w:tabs>
          <w:tab w:val="num" w:pos="3600"/>
        </w:tabs>
        <w:ind w:left="3600" w:hanging="360"/>
      </w:pPr>
      <w:rPr>
        <w:rFonts w:ascii="Wingdings" w:hAnsi="Wingdings" w:hint="default"/>
      </w:rPr>
    </w:lvl>
    <w:lvl w:ilvl="5" w:tplc="2790176A" w:tentative="1">
      <w:start w:val="1"/>
      <w:numFmt w:val="bullet"/>
      <w:lvlText w:val=""/>
      <w:lvlJc w:val="left"/>
      <w:pPr>
        <w:tabs>
          <w:tab w:val="num" w:pos="4320"/>
        </w:tabs>
        <w:ind w:left="4320" w:hanging="360"/>
      </w:pPr>
      <w:rPr>
        <w:rFonts w:ascii="Wingdings" w:hAnsi="Wingdings" w:hint="default"/>
      </w:rPr>
    </w:lvl>
    <w:lvl w:ilvl="6" w:tplc="A22264A4" w:tentative="1">
      <w:start w:val="1"/>
      <w:numFmt w:val="bullet"/>
      <w:lvlText w:val=""/>
      <w:lvlJc w:val="left"/>
      <w:pPr>
        <w:tabs>
          <w:tab w:val="num" w:pos="5040"/>
        </w:tabs>
        <w:ind w:left="5040" w:hanging="360"/>
      </w:pPr>
      <w:rPr>
        <w:rFonts w:ascii="Wingdings" w:hAnsi="Wingdings" w:hint="default"/>
      </w:rPr>
    </w:lvl>
    <w:lvl w:ilvl="7" w:tplc="83D864DA" w:tentative="1">
      <w:start w:val="1"/>
      <w:numFmt w:val="bullet"/>
      <w:lvlText w:val=""/>
      <w:lvlJc w:val="left"/>
      <w:pPr>
        <w:tabs>
          <w:tab w:val="num" w:pos="5760"/>
        </w:tabs>
        <w:ind w:left="5760" w:hanging="360"/>
      </w:pPr>
      <w:rPr>
        <w:rFonts w:ascii="Wingdings" w:hAnsi="Wingdings" w:hint="default"/>
      </w:rPr>
    </w:lvl>
    <w:lvl w:ilvl="8" w:tplc="63FAE272" w:tentative="1">
      <w:start w:val="1"/>
      <w:numFmt w:val="bullet"/>
      <w:lvlText w:val=""/>
      <w:lvlJc w:val="left"/>
      <w:pPr>
        <w:tabs>
          <w:tab w:val="num" w:pos="6480"/>
        </w:tabs>
        <w:ind w:left="6480" w:hanging="360"/>
      </w:pPr>
      <w:rPr>
        <w:rFonts w:ascii="Wingdings" w:hAnsi="Wingdings" w:hint="default"/>
      </w:rPr>
    </w:lvl>
  </w:abstractNum>
  <w:abstractNum w:abstractNumId="12">
    <w:nsid w:val="53BA46DE"/>
    <w:multiLevelType w:val="hybridMultilevel"/>
    <w:tmpl w:val="E400692C"/>
    <w:lvl w:ilvl="0" w:tplc="1D42C1EC">
      <w:start w:val="1"/>
      <w:numFmt w:val="bullet"/>
      <w:lvlText w:val=""/>
      <w:lvlJc w:val="left"/>
      <w:pPr>
        <w:tabs>
          <w:tab w:val="num" w:pos="720"/>
        </w:tabs>
        <w:ind w:left="720" w:hanging="360"/>
      </w:pPr>
      <w:rPr>
        <w:rFonts w:ascii="Wingdings" w:hAnsi="Wingdings" w:hint="default"/>
      </w:rPr>
    </w:lvl>
    <w:lvl w:ilvl="1" w:tplc="239EE18E" w:tentative="1">
      <w:start w:val="1"/>
      <w:numFmt w:val="bullet"/>
      <w:lvlText w:val=""/>
      <w:lvlJc w:val="left"/>
      <w:pPr>
        <w:tabs>
          <w:tab w:val="num" w:pos="1440"/>
        </w:tabs>
        <w:ind w:left="1440" w:hanging="360"/>
      </w:pPr>
      <w:rPr>
        <w:rFonts w:ascii="Wingdings" w:hAnsi="Wingdings" w:hint="default"/>
      </w:rPr>
    </w:lvl>
    <w:lvl w:ilvl="2" w:tplc="82E4E2BE" w:tentative="1">
      <w:start w:val="1"/>
      <w:numFmt w:val="bullet"/>
      <w:lvlText w:val=""/>
      <w:lvlJc w:val="left"/>
      <w:pPr>
        <w:tabs>
          <w:tab w:val="num" w:pos="2160"/>
        </w:tabs>
        <w:ind w:left="2160" w:hanging="360"/>
      </w:pPr>
      <w:rPr>
        <w:rFonts w:ascii="Wingdings" w:hAnsi="Wingdings" w:hint="default"/>
      </w:rPr>
    </w:lvl>
    <w:lvl w:ilvl="3" w:tplc="309C2838" w:tentative="1">
      <w:start w:val="1"/>
      <w:numFmt w:val="bullet"/>
      <w:lvlText w:val=""/>
      <w:lvlJc w:val="left"/>
      <w:pPr>
        <w:tabs>
          <w:tab w:val="num" w:pos="2880"/>
        </w:tabs>
        <w:ind w:left="2880" w:hanging="360"/>
      </w:pPr>
      <w:rPr>
        <w:rFonts w:ascii="Wingdings" w:hAnsi="Wingdings" w:hint="default"/>
      </w:rPr>
    </w:lvl>
    <w:lvl w:ilvl="4" w:tplc="452053AE" w:tentative="1">
      <w:start w:val="1"/>
      <w:numFmt w:val="bullet"/>
      <w:lvlText w:val=""/>
      <w:lvlJc w:val="left"/>
      <w:pPr>
        <w:tabs>
          <w:tab w:val="num" w:pos="3600"/>
        </w:tabs>
        <w:ind w:left="3600" w:hanging="360"/>
      </w:pPr>
      <w:rPr>
        <w:rFonts w:ascii="Wingdings" w:hAnsi="Wingdings" w:hint="default"/>
      </w:rPr>
    </w:lvl>
    <w:lvl w:ilvl="5" w:tplc="C36CB4A2" w:tentative="1">
      <w:start w:val="1"/>
      <w:numFmt w:val="bullet"/>
      <w:lvlText w:val=""/>
      <w:lvlJc w:val="left"/>
      <w:pPr>
        <w:tabs>
          <w:tab w:val="num" w:pos="4320"/>
        </w:tabs>
        <w:ind w:left="4320" w:hanging="360"/>
      </w:pPr>
      <w:rPr>
        <w:rFonts w:ascii="Wingdings" w:hAnsi="Wingdings" w:hint="default"/>
      </w:rPr>
    </w:lvl>
    <w:lvl w:ilvl="6" w:tplc="38AEB586" w:tentative="1">
      <w:start w:val="1"/>
      <w:numFmt w:val="bullet"/>
      <w:lvlText w:val=""/>
      <w:lvlJc w:val="left"/>
      <w:pPr>
        <w:tabs>
          <w:tab w:val="num" w:pos="5040"/>
        </w:tabs>
        <w:ind w:left="5040" w:hanging="360"/>
      </w:pPr>
      <w:rPr>
        <w:rFonts w:ascii="Wingdings" w:hAnsi="Wingdings" w:hint="default"/>
      </w:rPr>
    </w:lvl>
    <w:lvl w:ilvl="7" w:tplc="5EC4FC36" w:tentative="1">
      <w:start w:val="1"/>
      <w:numFmt w:val="bullet"/>
      <w:lvlText w:val=""/>
      <w:lvlJc w:val="left"/>
      <w:pPr>
        <w:tabs>
          <w:tab w:val="num" w:pos="5760"/>
        </w:tabs>
        <w:ind w:left="5760" w:hanging="360"/>
      </w:pPr>
      <w:rPr>
        <w:rFonts w:ascii="Wingdings" w:hAnsi="Wingdings" w:hint="default"/>
      </w:rPr>
    </w:lvl>
    <w:lvl w:ilvl="8" w:tplc="4D3668E8" w:tentative="1">
      <w:start w:val="1"/>
      <w:numFmt w:val="bullet"/>
      <w:lvlText w:val=""/>
      <w:lvlJc w:val="left"/>
      <w:pPr>
        <w:tabs>
          <w:tab w:val="num" w:pos="6480"/>
        </w:tabs>
        <w:ind w:left="6480" w:hanging="360"/>
      </w:pPr>
      <w:rPr>
        <w:rFonts w:ascii="Wingdings" w:hAnsi="Wingdings" w:hint="default"/>
      </w:rPr>
    </w:lvl>
  </w:abstractNum>
  <w:abstractNum w:abstractNumId="13">
    <w:nsid w:val="66407399"/>
    <w:multiLevelType w:val="hybridMultilevel"/>
    <w:tmpl w:val="257C681A"/>
    <w:lvl w:ilvl="0" w:tplc="4EE8B020">
      <w:start w:val="1"/>
      <w:numFmt w:val="bullet"/>
      <w:lvlText w:val=""/>
      <w:lvlJc w:val="left"/>
      <w:pPr>
        <w:tabs>
          <w:tab w:val="num" w:pos="720"/>
        </w:tabs>
        <w:ind w:left="720" w:hanging="360"/>
      </w:pPr>
      <w:rPr>
        <w:rFonts w:ascii="Wingdings" w:hAnsi="Wingdings" w:hint="default"/>
      </w:rPr>
    </w:lvl>
    <w:lvl w:ilvl="1" w:tplc="3B189542" w:tentative="1">
      <w:start w:val="1"/>
      <w:numFmt w:val="bullet"/>
      <w:lvlText w:val=""/>
      <w:lvlJc w:val="left"/>
      <w:pPr>
        <w:tabs>
          <w:tab w:val="num" w:pos="1440"/>
        </w:tabs>
        <w:ind w:left="1440" w:hanging="360"/>
      </w:pPr>
      <w:rPr>
        <w:rFonts w:ascii="Wingdings" w:hAnsi="Wingdings" w:hint="default"/>
      </w:rPr>
    </w:lvl>
    <w:lvl w:ilvl="2" w:tplc="70B097EA" w:tentative="1">
      <w:start w:val="1"/>
      <w:numFmt w:val="bullet"/>
      <w:lvlText w:val=""/>
      <w:lvlJc w:val="left"/>
      <w:pPr>
        <w:tabs>
          <w:tab w:val="num" w:pos="2160"/>
        </w:tabs>
        <w:ind w:left="2160" w:hanging="360"/>
      </w:pPr>
      <w:rPr>
        <w:rFonts w:ascii="Wingdings" w:hAnsi="Wingdings" w:hint="default"/>
      </w:rPr>
    </w:lvl>
    <w:lvl w:ilvl="3" w:tplc="5160489C" w:tentative="1">
      <w:start w:val="1"/>
      <w:numFmt w:val="bullet"/>
      <w:lvlText w:val=""/>
      <w:lvlJc w:val="left"/>
      <w:pPr>
        <w:tabs>
          <w:tab w:val="num" w:pos="2880"/>
        </w:tabs>
        <w:ind w:left="2880" w:hanging="360"/>
      </w:pPr>
      <w:rPr>
        <w:rFonts w:ascii="Wingdings" w:hAnsi="Wingdings" w:hint="default"/>
      </w:rPr>
    </w:lvl>
    <w:lvl w:ilvl="4" w:tplc="1C26607C" w:tentative="1">
      <w:start w:val="1"/>
      <w:numFmt w:val="bullet"/>
      <w:lvlText w:val=""/>
      <w:lvlJc w:val="left"/>
      <w:pPr>
        <w:tabs>
          <w:tab w:val="num" w:pos="3600"/>
        </w:tabs>
        <w:ind w:left="3600" w:hanging="360"/>
      </w:pPr>
      <w:rPr>
        <w:rFonts w:ascii="Wingdings" w:hAnsi="Wingdings" w:hint="default"/>
      </w:rPr>
    </w:lvl>
    <w:lvl w:ilvl="5" w:tplc="F1A84244" w:tentative="1">
      <w:start w:val="1"/>
      <w:numFmt w:val="bullet"/>
      <w:lvlText w:val=""/>
      <w:lvlJc w:val="left"/>
      <w:pPr>
        <w:tabs>
          <w:tab w:val="num" w:pos="4320"/>
        </w:tabs>
        <w:ind w:left="4320" w:hanging="360"/>
      </w:pPr>
      <w:rPr>
        <w:rFonts w:ascii="Wingdings" w:hAnsi="Wingdings" w:hint="default"/>
      </w:rPr>
    </w:lvl>
    <w:lvl w:ilvl="6" w:tplc="89A63F90" w:tentative="1">
      <w:start w:val="1"/>
      <w:numFmt w:val="bullet"/>
      <w:lvlText w:val=""/>
      <w:lvlJc w:val="left"/>
      <w:pPr>
        <w:tabs>
          <w:tab w:val="num" w:pos="5040"/>
        </w:tabs>
        <w:ind w:left="5040" w:hanging="360"/>
      </w:pPr>
      <w:rPr>
        <w:rFonts w:ascii="Wingdings" w:hAnsi="Wingdings" w:hint="default"/>
      </w:rPr>
    </w:lvl>
    <w:lvl w:ilvl="7" w:tplc="C8BE9956" w:tentative="1">
      <w:start w:val="1"/>
      <w:numFmt w:val="bullet"/>
      <w:lvlText w:val=""/>
      <w:lvlJc w:val="left"/>
      <w:pPr>
        <w:tabs>
          <w:tab w:val="num" w:pos="5760"/>
        </w:tabs>
        <w:ind w:left="5760" w:hanging="360"/>
      </w:pPr>
      <w:rPr>
        <w:rFonts w:ascii="Wingdings" w:hAnsi="Wingdings" w:hint="default"/>
      </w:rPr>
    </w:lvl>
    <w:lvl w:ilvl="8" w:tplc="EEEA1B16" w:tentative="1">
      <w:start w:val="1"/>
      <w:numFmt w:val="bullet"/>
      <w:lvlText w:val=""/>
      <w:lvlJc w:val="left"/>
      <w:pPr>
        <w:tabs>
          <w:tab w:val="num" w:pos="6480"/>
        </w:tabs>
        <w:ind w:left="6480" w:hanging="360"/>
      </w:pPr>
      <w:rPr>
        <w:rFonts w:ascii="Wingdings" w:hAnsi="Wingdings" w:hint="default"/>
      </w:rPr>
    </w:lvl>
  </w:abstractNum>
  <w:abstractNum w:abstractNumId="14">
    <w:nsid w:val="782879FD"/>
    <w:multiLevelType w:val="hybridMultilevel"/>
    <w:tmpl w:val="892E1600"/>
    <w:lvl w:ilvl="0" w:tplc="04090005">
      <w:start w:val="1"/>
      <w:numFmt w:val="bullet"/>
      <w:lvlText w:val=""/>
      <w:lvlJc w:val="left"/>
      <w:pPr>
        <w:tabs>
          <w:tab w:val="num" w:pos="720"/>
        </w:tabs>
        <w:ind w:left="720" w:hanging="360"/>
      </w:pPr>
      <w:rPr>
        <w:rFonts w:ascii="Wingdings" w:hAnsi="Wingdings" w:hint="default"/>
      </w:rPr>
    </w:lvl>
    <w:lvl w:ilvl="1" w:tplc="B5A070EC">
      <w:start w:val="164"/>
      <w:numFmt w:val="bullet"/>
      <w:lvlText w:val=""/>
      <w:lvlJc w:val="left"/>
      <w:pPr>
        <w:tabs>
          <w:tab w:val="num" w:pos="1440"/>
        </w:tabs>
        <w:ind w:left="1440" w:hanging="360"/>
      </w:pPr>
      <w:rPr>
        <w:rFonts w:ascii="Wingdings" w:hAnsi="Wingdings" w:hint="default"/>
      </w:rPr>
    </w:lvl>
    <w:lvl w:ilvl="2" w:tplc="6CEC3330" w:tentative="1">
      <w:start w:val="1"/>
      <w:numFmt w:val="bullet"/>
      <w:lvlText w:val=""/>
      <w:lvlJc w:val="left"/>
      <w:pPr>
        <w:tabs>
          <w:tab w:val="num" w:pos="2160"/>
        </w:tabs>
        <w:ind w:left="2160" w:hanging="360"/>
      </w:pPr>
      <w:rPr>
        <w:rFonts w:ascii="Wingdings" w:hAnsi="Wingdings" w:hint="default"/>
      </w:rPr>
    </w:lvl>
    <w:lvl w:ilvl="3" w:tplc="3AC0674C" w:tentative="1">
      <w:start w:val="1"/>
      <w:numFmt w:val="bullet"/>
      <w:lvlText w:val=""/>
      <w:lvlJc w:val="left"/>
      <w:pPr>
        <w:tabs>
          <w:tab w:val="num" w:pos="2880"/>
        </w:tabs>
        <w:ind w:left="2880" w:hanging="360"/>
      </w:pPr>
      <w:rPr>
        <w:rFonts w:ascii="Wingdings" w:hAnsi="Wingdings" w:hint="default"/>
      </w:rPr>
    </w:lvl>
    <w:lvl w:ilvl="4" w:tplc="49188600" w:tentative="1">
      <w:start w:val="1"/>
      <w:numFmt w:val="bullet"/>
      <w:lvlText w:val=""/>
      <w:lvlJc w:val="left"/>
      <w:pPr>
        <w:tabs>
          <w:tab w:val="num" w:pos="3600"/>
        </w:tabs>
        <w:ind w:left="3600" w:hanging="360"/>
      </w:pPr>
      <w:rPr>
        <w:rFonts w:ascii="Wingdings" w:hAnsi="Wingdings" w:hint="default"/>
      </w:rPr>
    </w:lvl>
    <w:lvl w:ilvl="5" w:tplc="2EAABB96" w:tentative="1">
      <w:start w:val="1"/>
      <w:numFmt w:val="bullet"/>
      <w:lvlText w:val=""/>
      <w:lvlJc w:val="left"/>
      <w:pPr>
        <w:tabs>
          <w:tab w:val="num" w:pos="4320"/>
        </w:tabs>
        <w:ind w:left="4320" w:hanging="360"/>
      </w:pPr>
      <w:rPr>
        <w:rFonts w:ascii="Wingdings" w:hAnsi="Wingdings" w:hint="default"/>
      </w:rPr>
    </w:lvl>
    <w:lvl w:ilvl="6" w:tplc="1EF27ECE" w:tentative="1">
      <w:start w:val="1"/>
      <w:numFmt w:val="bullet"/>
      <w:lvlText w:val=""/>
      <w:lvlJc w:val="left"/>
      <w:pPr>
        <w:tabs>
          <w:tab w:val="num" w:pos="5040"/>
        </w:tabs>
        <w:ind w:left="5040" w:hanging="360"/>
      </w:pPr>
      <w:rPr>
        <w:rFonts w:ascii="Wingdings" w:hAnsi="Wingdings" w:hint="default"/>
      </w:rPr>
    </w:lvl>
    <w:lvl w:ilvl="7" w:tplc="2EFCC88C" w:tentative="1">
      <w:start w:val="1"/>
      <w:numFmt w:val="bullet"/>
      <w:lvlText w:val=""/>
      <w:lvlJc w:val="left"/>
      <w:pPr>
        <w:tabs>
          <w:tab w:val="num" w:pos="5760"/>
        </w:tabs>
        <w:ind w:left="5760" w:hanging="360"/>
      </w:pPr>
      <w:rPr>
        <w:rFonts w:ascii="Wingdings" w:hAnsi="Wingdings" w:hint="default"/>
      </w:rPr>
    </w:lvl>
    <w:lvl w:ilvl="8" w:tplc="32BA5A40" w:tentative="1">
      <w:start w:val="1"/>
      <w:numFmt w:val="bullet"/>
      <w:lvlText w:val=""/>
      <w:lvlJc w:val="left"/>
      <w:pPr>
        <w:tabs>
          <w:tab w:val="num" w:pos="6480"/>
        </w:tabs>
        <w:ind w:left="6480" w:hanging="360"/>
      </w:pPr>
      <w:rPr>
        <w:rFonts w:ascii="Wingdings" w:hAnsi="Wingdings" w:hint="default"/>
      </w:rPr>
    </w:lvl>
  </w:abstractNum>
  <w:abstractNum w:abstractNumId="15">
    <w:nsid w:val="7C837DD1"/>
    <w:multiLevelType w:val="hybridMultilevel"/>
    <w:tmpl w:val="40F43982"/>
    <w:lvl w:ilvl="0" w:tplc="A2D07404">
      <w:start w:val="1"/>
      <w:numFmt w:val="bullet"/>
      <w:lvlText w:val=""/>
      <w:lvlJc w:val="left"/>
      <w:pPr>
        <w:tabs>
          <w:tab w:val="num" w:pos="720"/>
        </w:tabs>
        <w:ind w:left="720" w:hanging="360"/>
      </w:pPr>
      <w:rPr>
        <w:rFonts w:ascii="Wingdings" w:hAnsi="Wingdings" w:hint="default"/>
      </w:rPr>
    </w:lvl>
    <w:lvl w:ilvl="1" w:tplc="5864500A" w:tentative="1">
      <w:start w:val="1"/>
      <w:numFmt w:val="bullet"/>
      <w:lvlText w:val=""/>
      <w:lvlJc w:val="left"/>
      <w:pPr>
        <w:tabs>
          <w:tab w:val="num" w:pos="1440"/>
        </w:tabs>
        <w:ind w:left="1440" w:hanging="360"/>
      </w:pPr>
      <w:rPr>
        <w:rFonts w:ascii="Wingdings" w:hAnsi="Wingdings" w:hint="default"/>
      </w:rPr>
    </w:lvl>
    <w:lvl w:ilvl="2" w:tplc="FCFACCE0" w:tentative="1">
      <w:start w:val="1"/>
      <w:numFmt w:val="bullet"/>
      <w:lvlText w:val=""/>
      <w:lvlJc w:val="left"/>
      <w:pPr>
        <w:tabs>
          <w:tab w:val="num" w:pos="2160"/>
        </w:tabs>
        <w:ind w:left="2160" w:hanging="360"/>
      </w:pPr>
      <w:rPr>
        <w:rFonts w:ascii="Wingdings" w:hAnsi="Wingdings" w:hint="default"/>
      </w:rPr>
    </w:lvl>
    <w:lvl w:ilvl="3" w:tplc="28440EC0" w:tentative="1">
      <w:start w:val="1"/>
      <w:numFmt w:val="bullet"/>
      <w:lvlText w:val=""/>
      <w:lvlJc w:val="left"/>
      <w:pPr>
        <w:tabs>
          <w:tab w:val="num" w:pos="2880"/>
        </w:tabs>
        <w:ind w:left="2880" w:hanging="360"/>
      </w:pPr>
      <w:rPr>
        <w:rFonts w:ascii="Wingdings" w:hAnsi="Wingdings" w:hint="default"/>
      </w:rPr>
    </w:lvl>
    <w:lvl w:ilvl="4" w:tplc="25720590" w:tentative="1">
      <w:start w:val="1"/>
      <w:numFmt w:val="bullet"/>
      <w:lvlText w:val=""/>
      <w:lvlJc w:val="left"/>
      <w:pPr>
        <w:tabs>
          <w:tab w:val="num" w:pos="3600"/>
        </w:tabs>
        <w:ind w:left="3600" w:hanging="360"/>
      </w:pPr>
      <w:rPr>
        <w:rFonts w:ascii="Wingdings" w:hAnsi="Wingdings" w:hint="default"/>
      </w:rPr>
    </w:lvl>
    <w:lvl w:ilvl="5" w:tplc="CF104380" w:tentative="1">
      <w:start w:val="1"/>
      <w:numFmt w:val="bullet"/>
      <w:lvlText w:val=""/>
      <w:lvlJc w:val="left"/>
      <w:pPr>
        <w:tabs>
          <w:tab w:val="num" w:pos="4320"/>
        </w:tabs>
        <w:ind w:left="4320" w:hanging="360"/>
      </w:pPr>
      <w:rPr>
        <w:rFonts w:ascii="Wingdings" w:hAnsi="Wingdings" w:hint="default"/>
      </w:rPr>
    </w:lvl>
    <w:lvl w:ilvl="6" w:tplc="F028CD86" w:tentative="1">
      <w:start w:val="1"/>
      <w:numFmt w:val="bullet"/>
      <w:lvlText w:val=""/>
      <w:lvlJc w:val="left"/>
      <w:pPr>
        <w:tabs>
          <w:tab w:val="num" w:pos="5040"/>
        </w:tabs>
        <w:ind w:left="5040" w:hanging="360"/>
      </w:pPr>
      <w:rPr>
        <w:rFonts w:ascii="Wingdings" w:hAnsi="Wingdings" w:hint="default"/>
      </w:rPr>
    </w:lvl>
    <w:lvl w:ilvl="7" w:tplc="18C45F94" w:tentative="1">
      <w:start w:val="1"/>
      <w:numFmt w:val="bullet"/>
      <w:lvlText w:val=""/>
      <w:lvlJc w:val="left"/>
      <w:pPr>
        <w:tabs>
          <w:tab w:val="num" w:pos="5760"/>
        </w:tabs>
        <w:ind w:left="5760" w:hanging="360"/>
      </w:pPr>
      <w:rPr>
        <w:rFonts w:ascii="Wingdings" w:hAnsi="Wingdings" w:hint="default"/>
      </w:rPr>
    </w:lvl>
    <w:lvl w:ilvl="8" w:tplc="395010D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5"/>
  </w:num>
  <w:num w:numId="4">
    <w:abstractNumId w:val="13"/>
  </w:num>
  <w:num w:numId="5">
    <w:abstractNumId w:val="12"/>
  </w:num>
  <w:num w:numId="6">
    <w:abstractNumId w:val="0"/>
  </w:num>
  <w:num w:numId="7">
    <w:abstractNumId w:val="7"/>
  </w:num>
  <w:num w:numId="8">
    <w:abstractNumId w:val="6"/>
  </w:num>
  <w:num w:numId="9">
    <w:abstractNumId w:val="1"/>
  </w:num>
  <w:num w:numId="10">
    <w:abstractNumId w:val="9"/>
  </w:num>
  <w:num w:numId="11">
    <w:abstractNumId w:val="14"/>
  </w:num>
  <w:num w:numId="12">
    <w:abstractNumId w:val="5"/>
  </w:num>
  <w:num w:numId="13">
    <w:abstractNumId w:val="11"/>
  </w:num>
  <w:num w:numId="14">
    <w:abstractNumId w:val="2"/>
  </w:num>
  <w:num w:numId="15">
    <w:abstractNumId w:val="4"/>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US" w:vendorID="64" w:dllVersion="131078" w:nlCheck="1" w:checkStyle="1"/>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2392D"/>
    <w:rsid w:val="00015412"/>
    <w:rsid w:val="00040736"/>
    <w:rsid w:val="000738B3"/>
    <w:rsid w:val="00074341"/>
    <w:rsid w:val="000A29F6"/>
    <w:rsid w:val="000A77A6"/>
    <w:rsid w:val="000C4516"/>
    <w:rsid w:val="000D519C"/>
    <w:rsid w:val="00105D29"/>
    <w:rsid w:val="0012392D"/>
    <w:rsid w:val="0012570A"/>
    <w:rsid w:val="0014781D"/>
    <w:rsid w:val="00160CB0"/>
    <w:rsid w:val="00162E96"/>
    <w:rsid w:val="0019195E"/>
    <w:rsid w:val="001926CA"/>
    <w:rsid w:val="001A413C"/>
    <w:rsid w:val="001B2BB4"/>
    <w:rsid w:val="001C36F0"/>
    <w:rsid w:val="001D026A"/>
    <w:rsid w:val="001D3AFE"/>
    <w:rsid w:val="001D60A7"/>
    <w:rsid w:val="001F4ED5"/>
    <w:rsid w:val="002024D0"/>
    <w:rsid w:val="00254495"/>
    <w:rsid w:val="00260C81"/>
    <w:rsid w:val="00264163"/>
    <w:rsid w:val="002661C3"/>
    <w:rsid w:val="002735BF"/>
    <w:rsid w:val="002758A2"/>
    <w:rsid w:val="00280D5D"/>
    <w:rsid w:val="002933BA"/>
    <w:rsid w:val="002D7313"/>
    <w:rsid w:val="002E27E5"/>
    <w:rsid w:val="002E66B8"/>
    <w:rsid w:val="002F4745"/>
    <w:rsid w:val="002F4B0B"/>
    <w:rsid w:val="003708C0"/>
    <w:rsid w:val="00380D1A"/>
    <w:rsid w:val="003C3DAA"/>
    <w:rsid w:val="003D625B"/>
    <w:rsid w:val="003D6F66"/>
    <w:rsid w:val="003F365D"/>
    <w:rsid w:val="0042345D"/>
    <w:rsid w:val="00430F1C"/>
    <w:rsid w:val="00446043"/>
    <w:rsid w:val="00473D43"/>
    <w:rsid w:val="004D6BC0"/>
    <w:rsid w:val="00504AFF"/>
    <w:rsid w:val="005133FC"/>
    <w:rsid w:val="00541C40"/>
    <w:rsid w:val="00546128"/>
    <w:rsid w:val="00560C54"/>
    <w:rsid w:val="00575C93"/>
    <w:rsid w:val="005A46C7"/>
    <w:rsid w:val="005B2FCF"/>
    <w:rsid w:val="005B58EB"/>
    <w:rsid w:val="0060221A"/>
    <w:rsid w:val="006170AB"/>
    <w:rsid w:val="00686C7A"/>
    <w:rsid w:val="00692ECF"/>
    <w:rsid w:val="006A49AF"/>
    <w:rsid w:val="00726419"/>
    <w:rsid w:val="00771A77"/>
    <w:rsid w:val="00775E21"/>
    <w:rsid w:val="007C5FDA"/>
    <w:rsid w:val="00821EEA"/>
    <w:rsid w:val="00833F0C"/>
    <w:rsid w:val="008608A5"/>
    <w:rsid w:val="00881260"/>
    <w:rsid w:val="0089018E"/>
    <w:rsid w:val="0089076E"/>
    <w:rsid w:val="008B6DA4"/>
    <w:rsid w:val="008D6034"/>
    <w:rsid w:val="00904A0C"/>
    <w:rsid w:val="00912A2A"/>
    <w:rsid w:val="00922ECE"/>
    <w:rsid w:val="00983DE9"/>
    <w:rsid w:val="009C3EBB"/>
    <w:rsid w:val="009E0D7F"/>
    <w:rsid w:val="009F0D7B"/>
    <w:rsid w:val="009F77E3"/>
    <w:rsid w:val="00A00EE9"/>
    <w:rsid w:val="00A10711"/>
    <w:rsid w:val="00A11431"/>
    <w:rsid w:val="00A255BB"/>
    <w:rsid w:val="00A269A0"/>
    <w:rsid w:val="00A51DC2"/>
    <w:rsid w:val="00A8442B"/>
    <w:rsid w:val="00A915D9"/>
    <w:rsid w:val="00AB1803"/>
    <w:rsid w:val="00AB3652"/>
    <w:rsid w:val="00B22A8C"/>
    <w:rsid w:val="00B35D8D"/>
    <w:rsid w:val="00B53579"/>
    <w:rsid w:val="00B55A39"/>
    <w:rsid w:val="00B56BD7"/>
    <w:rsid w:val="00B62EF8"/>
    <w:rsid w:val="00B80B3C"/>
    <w:rsid w:val="00B8613E"/>
    <w:rsid w:val="00BA5A11"/>
    <w:rsid w:val="00BE376D"/>
    <w:rsid w:val="00BF4ACA"/>
    <w:rsid w:val="00C536F1"/>
    <w:rsid w:val="00C55BBE"/>
    <w:rsid w:val="00C96D5D"/>
    <w:rsid w:val="00CA6B5E"/>
    <w:rsid w:val="00CD1243"/>
    <w:rsid w:val="00CE54FE"/>
    <w:rsid w:val="00D02DAB"/>
    <w:rsid w:val="00D2506A"/>
    <w:rsid w:val="00D721A6"/>
    <w:rsid w:val="00D76490"/>
    <w:rsid w:val="00D8366C"/>
    <w:rsid w:val="00DB575C"/>
    <w:rsid w:val="00DC6EC4"/>
    <w:rsid w:val="00DD1A54"/>
    <w:rsid w:val="00DE41EC"/>
    <w:rsid w:val="00DF6D56"/>
    <w:rsid w:val="00E24387"/>
    <w:rsid w:val="00E4454A"/>
    <w:rsid w:val="00E658E5"/>
    <w:rsid w:val="00E8424A"/>
    <w:rsid w:val="00EA1B1C"/>
    <w:rsid w:val="00EE6C18"/>
    <w:rsid w:val="00F03437"/>
    <w:rsid w:val="00F059CB"/>
    <w:rsid w:val="00F142F3"/>
    <w:rsid w:val="00F40636"/>
    <w:rsid w:val="00F55F66"/>
    <w:rsid w:val="00F70C1C"/>
    <w:rsid w:val="00F84081"/>
    <w:rsid w:val="00FA5DF8"/>
    <w:rsid w:val="00FD19F3"/>
    <w:rsid w:val="00FD7BF4"/>
    <w:rsid w:val="00FE10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33F0C"/>
    <w:rPr>
      <w:rFonts w:ascii="Arial" w:hAnsi="Arial" w:cs="Arial"/>
      <w:sz w:val="22"/>
      <w:szCs w:val="22"/>
      <w:lang w:eastAsia="en-US"/>
    </w:rPr>
  </w:style>
  <w:style w:type="paragraph" w:styleId="Heading1">
    <w:name w:val="heading 1"/>
    <w:basedOn w:val="Normal"/>
    <w:next w:val="Normal"/>
    <w:autoRedefine/>
    <w:qFormat/>
    <w:rsid w:val="0012392D"/>
    <w:pPr>
      <w:keepNext/>
      <w:outlineLvl w:val="0"/>
    </w:pPr>
    <w:rPr>
      <w:b/>
      <w:bCs/>
      <w:sz w:val="32"/>
    </w:rPr>
  </w:style>
  <w:style w:type="paragraph" w:styleId="Heading2">
    <w:name w:val="heading 2"/>
    <w:basedOn w:val="Normal"/>
    <w:next w:val="Normal"/>
    <w:autoRedefine/>
    <w:qFormat/>
    <w:rsid w:val="0012392D"/>
    <w:pPr>
      <w:keepNext/>
      <w:outlineLvl w:val="1"/>
    </w:pPr>
    <w:rPr>
      <w:sz w:val="28"/>
      <w:u w:val="single"/>
    </w:rPr>
  </w:style>
  <w:style w:type="paragraph" w:styleId="Heading3">
    <w:name w:val="heading 3"/>
    <w:basedOn w:val="Normal"/>
    <w:next w:val="Normal"/>
    <w:autoRedefine/>
    <w:qFormat/>
    <w:rsid w:val="0012392D"/>
    <w:pPr>
      <w:keepNext/>
      <w:spacing w:before="240" w:after="60"/>
      <w:outlineLvl w:val="2"/>
    </w:pPr>
    <w:rPr>
      <w:b/>
      <w:bCs/>
      <w:sz w:val="26"/>
      <w:szCs w:val="26"/>
    </w:rPr>
  </w:style>
  <w:style w:type="paragraph" w:styleId="Heading4">
    <w:name w:val="heading 4"/>
    <w:basedOn w:val="Normal"/>
    <w:next w:val="Normal"/>
    <w:link w:val="Heading4Char"/>
    <w:unhideWhenUsed/>
    <w:qFormat/>
    <w:rsid w:val="00833F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6F0"/>
    <w:pPr>
      <w:tabs>
        <w:tab w:val="center" w:pos="4320"/>
        <w:tab w:val="right" w:pos="8640"/>
      </w:tabs>
    </w:pPr>
  </w:style>
  <w:style w:type="paragraph" w:styleId="Footer">
    <w:name w:val="footer"/>
    <w:basedOn w:val="Normal"/>
    <w:rsid w:val="001C36F0"/>
    <w:pPr>
      <w:tabs>
        <w:tab w:val="center" w:pos="4320"/>
        <w:tab w:val="right" w:pos="8640"/>
      </w:tabs>
    </w:pPr>
  </w:style>
  <w:style w:type="table" w:styleId="TableGrid">
    <w:name w:val="Table Grid"/>
    <w:basedOn w:val="TableNormal"/>
    <w:rsid w:val="001C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46043"/>
  </w:style>
  <w:style w:type="character" w:styleId="Hyperlink">
    <w:name w:val="Hyperlink"/>
    <w:basedOn w:val="DefaultParagraphFont"/>
    <w:rsid w:val="003708C0"/>
    <w:rPr>
      <w:color w:val="0000FF"/>
      <w:u w:val="single"/>
    </w:rPr>
  </w:style>
  <w:style w:type="paragraph" w:styleId="BalloonText">
    <w:name w:val="Balloon Text"/>
    <w:basedOn w:val="Normal"/>
    <w:semiHidden/>
    <w:rsid w:val="001A413C"/>
    <w:rPr>
      <w:rFonts w:ascii="Tahoma" w:hAnsi="Tahoma" w:cs="Tahoma"/>
      <w:sz w:val="16"/>
      <w:szCs w:val="16"/>
    </w:rPr>
  </w:style>
  <w:style w:type="character" w:customStyle="1" w:styleId="Heading4Char">
    <w:name w:val="Heading 4 Char"/>
    <w:basedOn w:val="DefaultParagraphFont"/>
    <w:link w:val="Heading4"/>
    <w:rsid w:val="00833F0C"/>
    <w:rPr>
      <w:rFonts w:asciiTheme="majorHAnsi" w:eastAsiaTheme="majorEastAsia" w:hAnsiTheme="majorHAnsi" w:cstheme="majorBidi"/>
      <w:b/>
      <w:bCs/>
      <w:i/>
      <w:iCs/>
      <w:color w:val="4F81BD" w:themeColor="accent1"/>
      <w:sz w:val="22"/>
      <w:szCs w:val="24"/>
      <w:lang w:eastAsia="en-US"/>
    </w:rPr>
  </w:style>
  <w:style w:type="paragraph" w:styleId="NormalWeb">
    <w:name w:val="Normal (Web)"/>
    <w:basedOn w:val="Normal"/>
    <w:uiPriority w:val="99"/>
    <w:unhideWhenUsed/>
    <w:rsid w:val="00833F0C"/>
    <w:pPr>
      <w:spacing w:before="100" w:beforeAutospacing="1" w:after="100" w:afterAutospacing="1"/>
    </w:pPr>
    <w:rPr>
      <w:rFonts w:ascii="Times New Roman" w:eastAsiaTheme="minorHAnsi" w:hAnsi="Times New Roman"/>
      <w:sz w:val="24"/>
      <w:lang w:eastAsia="en-AU"/>
    </w:rPr>
  </w:style>
  <w:style w:type="character" w:styleId="Strong">
    <w:name w:val="Strong"/>
    <w:basedOn w:val="DefaultParagraphFont"/>
    <w:uiPriority w:val="22"/>
    <w:qFormat/>
    <w:rsid w:val="00833F0C"/>
    <w:rPr>
      <w:b/>
      <w:bCs/>
    </w:rPr>
  </w:style>
</w:styles>
</file>

<file path=word/webSettings.xml><?xml version="1.0" encoding="utf-8"?>
<w:webSettings xmlns:r="http://schemas.openxmlformats.org/officeDocument/2006/relationships" xmlns:w="http://schemas.openxmlformats.org/wordprocessingml/2006/main">
  <w:divs>
    <w:div w:id="411394353">
      <w:bodyDiv w:val="1"/>
      <w:marLeft w:val="0"/>
      <w:marRight w:val="0"/>
      <w:marTop w:val="0"/>
      <w:marBottom w:val="0"/>
      <w:divBdr>
        <w:top w:val="none" w:sz="0" w:space="0" w:color="auto"/>
        <w:left w:val="none" w:sz="0" w:space="0" w:color="auto"/>
        <w:bottom w:val="none" w:sz="0" w:space="0" w:color="auto"/>
        <w:right w:val="none" w:sz="0" w:space="0" w:color="auto"/>
      </w:divBdr>
    </w:div>
    <w:div w:id="431753131">
      <w:bodyDiv w:val="1"/>
      <w:marLeft w:val="0"/>
      <w:marRight w:val="0"/>
      <w:marTop w:val="0"/>
      <w:marBottom w:val="0"/>
      <w:divBdr>
        <w:top w:val="none" w:sz="0" w:space="0" w:color="auto"/>
        <w:left w:val="none" w:sz="0" w:space="0" w:color="auto"/>
        <w:bottom w:val="none" w:sz="0" w:space="0" w:color="auto"/>
        <w:right w:val="none" w:sz="0" w:space="0" w:color="auto"/>
      </w:divBdr>
      <w:divsChild>
        <w:div w:id="1333799319">
          <w:marLeft w:val="0"/>
          <w:marRight w:val="0"/>
          <w:marTop w:val="0"/>
          <w:marBottom w:val="0"/>
          <w:divBdr>
            <w:top w:val="none" w:sz="0" w:space="0" w:color="auto"/>
            <w:left w:val="none" w:sz="0" w:space="0" w:color="auto"/>
            <w:bottom w:val="none" w:sz="0" w:space="0" w:color="auto"/>
            <w:right w:val="none" w:sz="0" w:space="0" w:color="auto"/>
          </w:divBdr>
          <w:divsChild>
            <w:div w:id="178543577">
              <w:marLeft w:val="0"/>
              <w:marRight w:val="0"/>
              <w:marTop w:val="0"/>
              <w:marBottom w:val="0"/>
              <w:divBdr>
                <w:top w:val="none" w:sz="0" w:space="0" w:color="auto"/>
                <w:left w:val="none" w:sz="0" w:space="0" w:color="auto"/>
                <w:bottom w:val="none" w:sz="0" w:space="0" w:color="auto"/>
                <w:right w:val="none" w:sz="0" w:space="0" w:color="auto"/>
              </w:divBdr>
            </w:div>
            <w:div w:id="372534079">
              <w:marLeft w:val="0"/>
              <w:marRight w:val="0"/>
              <w:marTop w:val="0"/>
              <w:marBottom w:val="0"/>
              <w:divBdr>
                <w:top w:val="none" w:sz="0" w:space="0" w:color="auto"/>
                <w:left w:val="none" w:sz="0" w:space="0" w:color="auto"/>
                <w:bottom w:val="none" w:sz="0" w:space="0" w:color="auto"/>
                <w:right w:val="none" w:sz="0" w:space="0" w:color="auto"/>
              </w:divBdr>
            </w:div>
            <w:div w:id="373383148">
              <w:marLeft w:val="0"/>
              <w:marRight w:val="0"/>
              <w:marTop w:val="0"/>
              <w:marBottom w:val="0"/>
              <w:divBdr>
                <w:top w:val="none" w:sz="0" w:space="0" w:color="auto"/>
                <w:left w:val="none" w:sz="0" w:space="0" w:color="auto"/>
                <w:bottom w:val="none" w:sz="0" w:space="0" w:color="auto"/>
                <w:right w:val="none" w:sz="0" w:space="0" w:color="auto"/>
              </w:divBdr>
            </w:div>
            <w:div w:id="497884033">
              <w:marLeft w:val="0"/>
              <w:marRight w:val="0"/>
              <w:marTop w:val="0"/>
              <w:marBottom w:val="0"/>
              <w:divBdr>
                <w:top w:val="none" w:sz="0" w:space="0" w:color="auto"/>
                <w:left w:val="none" w:sz="0" w:space="0" w:color="auto"/>
                <w:bottom w:val="none" w:sz="0" w:space="0" w:color="auto"/>
                <w:right w:val="none" w:sz="0" w:space="0" w:color="auto"/>
              </w:divBdr>
            </w:div>
            <w:div w:id="718209413">
              <w:marLeft w:val="0"/>
              <w:marRight w:val="0"/>
              <w:marTop w:val="0"/>
              <w:marBottom w:val="0"/>
              <w:divBdr>
                <w:top w:val="none" w:sz="0" w:space="0" w:color="auto"/>
                <w:left w:val="none" w:sz="0" w:space="0" w:color="auto"/>
                <w:bottom w:val="none" w:sz="0" w:space="0" w:color="auto"/>
                <w:right w:val="none" w:sz="0" w:space="0" w:color="auto"/>
              </w:divBdr>
            </w:div>
            <w:div w:id="775176646">
              <w:marLeft w:val="0"/>
              <w:marRight w:val="0"/>
              <w:marTop w:val="0"/>
              <w:marBottom w:val="0"/>
              <w:divBdr>
                <w:top w:val="none" w:sz="0" w:space="0" w:color="auto"/>
                <w:left w:val="none" w:sz="0" w:space="0" w:color="auto"/>
                <w:bottom w:val="none" w:sz="0" w:space="0" w:color="auto"/>
                <w:right w:val="none" w:sz="0" w:space="0" w:color="auto"/>
              </w:divBdr>
            </w:div>
            <w:div w:id="800995823">
              <w:marLeft w:val="0"/>
              <w:marRight w:val="0"/>
              <w:marTop w:val="0"/>
              <w:marBottom w:val="0"/>
              <w:divBdr>
                <w:top w:val="none" w:sz="0" w:space="0" w:color="auto"/>
                <w:left w:val="none" w:sz="0" w:space="0" w:color="auto"/>
                <w:bottom w:val="none" w:sz="0" w:space="0" w:color="auto"/>
                <w:right w:val="none" w:sz="0" w:space="0" w:color="auto"/>
              </w:divBdr>
            </w:div>
            <w:div w:id="1234966480">
              <w:marLeft w:val="0"/>
              <w:marRight w:val="0"/>
              <w:marTop w:val="0"/>
              <w:marBottom w:val="0"/>
              <w:divBdr>
                <w:top w:val="none" w:sz="0" w:space="0" w:color="auto"/>
                <w:left w:val="none" w:sz="0" w:space="0" w:color="auto"/>
                <w:bottom w:val="none" w:sz="0" w:space="0" w:color="auto"/>
                <w:right w:val="none" w:sz="0" w:space="0" w:color="auto"/>
              </w:divBdr>
            </w:div>
            <w:div w:id="1454707629">
              <w:marLeft w:val="0"/>
              <w:marRight w:val="0"/>
              <w:marTop w:val="0"/>
              <w:marBottom w:val="0"/>
              <w:divBdr>
                <w:top w:val="none" w:sz="0" w:space="0" w:color="auto"/>
                <w:left w:val="none" w:sz="0" w:space="0" w:color="auto"/>
                <w:bottom w:val="none" w:sz="0" w:space="0" w:color="auto"/>
                <w:right w:val="none" w:sz="0" w:space="0" w:color="auto"/>
              </w:divBdr>
            </w:div>
            <w:div w:id="1664964704">
              <w:marLeft w:val="0"/>
              <w:marRight w:val="0"/>
              <w:marTop w:val="0"/>
              <w:marBottom w:val="0"/>
              <w:divBdr>
                <w:top w:val="none" w:sz="0" w:space="0" w:color="auto"/>
                <w:left w:val="none" w:sz="0" w:space="0" w:color="auto"/>
                <w:bottom w:val="none" w:sz="0" w:space="0" w:color="auto"/>
                <w:right w:val="none" w:sz="0" w:space="0" w:color="auto"/>
              </w:divBdr>
            </w:div>
            <w:div w:id="1786460423">
              <w:marLeft w:val="0"/>
              <w:marRight w:val="0"/>
              <w:marTop w:val="0"/>
              <w:marBottom w:val="0"/>
              <w:divBdr>
                <w:top w:val="none" w:sz="0" w:space="0" w:color="auto"/>
                <w:left w:val="none" w:sz="0" w:space="0" w:color="auto"/>
                <w:bottom w:val="none" w:sz="0" w:space="0" w:color="auto"/>
                <w:right w:val="none" w:sz="0" w:space="0" w:color="auto"/>
              </w:divBdr>
            </w:div>
            <w:div w:id="19442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9022">
      <w:bodyDiv w:val="1"/>
      <w:marLeft w:val="0"/>
      <w:marRight w:val="0"/>
      <w:marTop w:val="0"/>
      <w:marBottom w:val="0"/>
      <w:divBdr>
        <w:top w:val="none" w:sz="0" w:space="0" w:color="auto"/>
        <w:left w:val="none" w:sz="0" w:space="0" w:color="auto"/>
        <w:bottom w:val="none" w:sz="0" w:space="0" w:color="auto"/>
        <w:right w:val="none" w:sz="0" w:space="0" w:color="auto"/>
      </w:divBdr>
      <w:divsChild>
        <w:div w:id="1360279303">
          <w:marLeft w:val="0"/>
          <w:marRight w:val="0"/>
          <w:marTop w:val="0"/>
          <w:marBottom w:val="0"/>
          <w:divBdr>
            <w:top w:val="none" w:sz="0" w:space="0" w:color="auto"/>
            <w:left w:val="none" w:sz="0" w:space="0" w:color="auto"/>
            <w:bottom w:val="none" w:sz="0" w:space="0" w:color="auto"/>
            <w:right w:val="none" w:sz="0" w:space="0" w:color="auto"/>
          </w:divBdr>
        </w:div>
      </w:divsChild>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1340086401">
      <w:bodyDiv w:val="1"/>
      <w:marLeft w:val="0"/>
      <w:marRight w:val="0"/>
      <w:marTop w:val="0"/>
      <w:marBottom w:val="0"/>
      <w:divBdr>
        <w:top w:val="none" w:sz="0" w:space="0" w:color="auto"/>
        <w:left w:val="none" w:sz="0" w:space="0" w:color="auto"/>
        <w:bottom w:val="none" w:sz="0" w:space="0" w:color="auto"/>
        <w:right w:val="none" w:sz="0" w:space="0" w:color="auto"/>
      </w:divBdr>
    </w:div>
    <w:div w:id="1535996666">
      <w:bodyDiv w:val="1"/>
      <w:marLeft w:val="0"/>
      <w:marRight w:val="0"/>
      <w:marTop w:val="0"/>
      <w:marBottom w:val="0"/>
      <w:divBdr>
        <w:top w:val="none" w:sz="0" w:space="0" w:color="auto"/>
        <w:left w:val="none" w:sz="0" w:space="0" w:color="auto"/>
        <w:bottom w:val="none" w:sz="0" w:space="0" w:color="auto"/>
        <w:right w:val="none" w:sz="0" w:space="0" w:color="auto"/>
      </w:divBdr>
    </w:div>
    <w:div w:id="1697852306">
      <w:bodyDiv w:val="1"/>
      <w:marLeft w:val="0"/>
      <w:marRight w:val="0"/>
      <w:marTop w:val="0"/>
      <w:marBottom w:val="0"/>
      <w:divBdr>
        <w:top w:val="none" w:sz="0" w:space="0" w:color="auto"/>
        <w:left w:val="none" w:sz="0" w:space="0" w:color="auto"/>
        <w:bottom w:val="none" w:sz="0" w:space="0" w:color="auto"/>
        <w:right w:val="none" w:sz="0" w:space="0" w:color="auto"/>
      </w:divBdr>
      <w:divsChild>
        <w:div w:id="549805762">
          <w:marLeft w:val="0"/>
          <w:marRight w:val="0"/>
          <w:marTop w:val="0"/>
          <w:marBottom w:val="0"/>
          <w:divBdr>
            <w:top w:val="none" w:sz="0" w:space="0" w:color="auto"/>
            <w:left w:val="none" w:sz="0" w:space="0" w:color="auto"/>
            <w:bottom w:val="none" w:sz="0" w:space="0" w:color="auto"/>
            <w:right w:val="none" w:sz="0" w:space="0" w:color="auto"/>
          </w:divBdr>
          <w:divsChild>
            <w:div w:id="398556949">
              <w:marLeft w:val="0"/>
              <w:marRight w:val="0"/>
              <w:marTop w:val="0"/>
              <w:marBottom w:val="0"/>
              <w:divBdr>
                <w:top w:val="none" w:sz="0" w:space="0" w:color="auto"/>
                <w:left w:val="none" w:sz="0" w:space="0" w:color="auto"/>
                <w:bottom w:val="none" w:sz="0" w:space="0" w:color="auto"/>
                <w:right w:val="none" w:sz="0" w:space="0" w:color="auto"/>
              </w:divBdr>
            </w:div>
            <w:div w:id="847717516">
              <w:marLeft w:val="0"/>
              <w:marRight w:val="0"/>
              <w:marTop w:val="0"/>
              <w:marBottom w:val="0"/>
              <w:divBdr>
                <w:top w:val="none" w:sz="0" w:space="0" w:color="auto"/>
                <w:left w:val="none" w:sz="0" w:space="0" w:color="auto"/>
                <w:bottom w:val="none" w:sz="0" w:space="0" w:color="auto"/>
                <w:right w:val="none" w:sz="0" w:space="0" w:color="auto"/>
              </w:divBdr>
            </w:div>
            <w:div w:id="1661928279">
              <w:marLeft w:val="0"/>
              <w:marRight w:val="0"/>
              <w:marTop w:val="0"/>
              <w:marBottom w:val="0"/>
              <w:divBdr>
                <w:top w:val="none" w:sz="0" w:space="0" w:color="auto"/>
                <w:left w:val="none" w:sz="0" w:space="0" w:color="auto"/>
                <w:bottom w:val="none" w:sz="0" w:space="0" w:color="auto"/>
                <w:right w:val="none" w:sz="0" w:space="0" w:color="auto"/>
              </w:divBdr>
            </w:div>
            <w:div w:id="1710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C7DE3.11AD73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6.jpg@01CC7DE3.11AD73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3.jpg@01CC7DE3.11AD73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idconsultants.com.au" TargetMode="External"/><Relationship Id="rId2" Type="http://schemas.openxmlformats.org/officeDocument/2006/relationships/hyperlink" Target="mailto:greg@reidconsultants.com.au"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20th December 2005</vt:lpstr>
    </vt:vector>
  </TitlesOfParts>
  <Company>PLAN Australia</Company>
  <LinksUpToDate>false</LinksUpToDate>
  <CharactersWithSpaces>5240</CharactersWithSpaces>
  <SharedDoc>false</SharedDoc>
  <HLinks>
    <vt:vector size="12" baseType="variant">
      <vt:variant>
        <vt:i4>6357038</vt:i4>
      </vt:variant>
      <vt:variant>
        <vt:i4>3</vt:i4>
      </vt:variant>
      <vt:variant>
        <vt:i4>0</vt:i4>
      </vt:variant>
      <vt:variant>
        <vt:i4>5</vt:i4>
      </vt:variant>
      <vt:variant>
        <vt:lpwstr>http://www.reidconsultants.com.au/</vt:lpwstr>
      </vt:variant>
      <vt:variant>
        <vt:lpwstr/>
      </vt:variant>
      <vt:variant>
        <vt:i4>6160442</vt:i4>
      </vt:variant>
      <vt:variant>
        <vt:i4>0</vt:i4>
      </vt:variant>
      <vt:variant>
        <vt:i4>0</vt:i4>
      </vt:variant>
      <vt:variant>
        <vt:i4>5</vt:i4>
      </vt:variant>
      <vt:variant>
        <vt:lpwstr>mailto:greg@reidconsultants.com.au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December 2005</dc:title>
  <dc:creator>Reid Consultants</dc:creator>
  <cp:lastModifiedBy>Greg</cp:lastModifiedBy>
  <cp:revision>3</cp:revision>
  <cp:lastPrinted>2006-08-27T05:55:00Z</cp:lastPrinted>
  <dcterms:created xsi:type="dcterms:W3CDTF">2012-06-15T01:42:00Z</dcterms:created>
  <dcterms:modified xsi:type="dcterms:W3CDTF">2012-06-15T01:48:00Z</dcterms:modified>
</cp:coreProperties>
</file>